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A" w:rsidRPr="001F389A" w:rsidRDefault="001C481A" w:rsidP="001F389A">
      <w:pPr>
        <w:jc w:val="center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Закон допускает возможность освобождения от уголовной ответственности в связи с примирением с потерпевшим, что может быть сделано как на стадии предварительного расследования, так и в суде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 xml:space="preserve">Обязательное условие для прекращения уголовного дела - совершение преступления впервые. Преступление должно относиться к категории преступлений небольшой тяжести, максимальное </w:t>
      </w:r>
      <w:proofErr w:type="gramStart"/>
      <w:r w:rsidRPr="001F389A">
        <w:rPr>
          <w:rFonts w:ascii="Times New Roman" w:hAnsi="Times New Roman" w:cs="Times New Roman"/>
          <w:sz w:val="32"/>
          <w:szCs w:val="32"/>
        </w:rPr>
        <w:t>наказание</w:t>
      </w:r>
      <w:proofErr w:type="gramEnd"/>
      <w:r w:rsidRPr="001F389A">
        <w:rPr>
          <w:rFonts w:ascii="Times New Roman" w:hAnsi="Times New Roman" w:cs="Times New Roman"/>
          <w:sz w:val="32"/>
          <w:szCs w:val="32"/>
        </w:rPr>
        <w:t xml:space="preserve"> за которое не превышает 3-х лет лишения свободы, или к категории преступлений средней тяжести, когда максимальное наказание не превышает 5 лет лишения свободы, а за совершенное по неосторожности 10 лет лишения свободы.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Прекращению дела должны предшествовать примирение с потерпевшим и заглаживание причиненного ему вреда любым позволяющим восстановить права способом.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Ущербом признается имущественный вред, который может быть возмещен как в натуре, в частности, путем предоставления имущества взамен утраченного или его ремонта, так и в денежной форме.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Вред может заглаживаться также путем имущественной или денежной компенсации морального вреда, оказанием какой-либо помощи потерпевшему, принесением извинений, а также принятием иных мер. То, каким образом должен быть заглажен вред, а также размер возмещения определяется потерпевшим.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Ходатайство о прекращении уголовного дела в связи с примирением может быть подано обвиняемым или его законным представителем, потерпевшим или его представителем.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При наличии совокупности всех перечисленных выше условий суд вправе освободить обвиняемого от уголовной ответственности и назначить ему судебный штраф, размер которого определяется с учетом тяжести совершенного преступления и имущественного положения виновного.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Размер взыскания не может превышать половину максимального размера штрафа, предусмотренного Уголовным кодексом Российской Федерации в качестве наказания за преступление, в совершении которого лицо обвиняется. Если штраф не предусмотрен в качестве наказания соответствующей статьей, то его размер не может превышать 250 тысяч рублей.</w:t>
      </w:r>
    </w:p>
    <w:p w:rsidR="001C481A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4C3F" w:rsidRPr="001F389A" w:rsidRDefault="001C481A" w:rsidP="001F389A">
      <w:pPr>
        <w:jc w:val="both"/>
        <w:rPr>
          <w:rFonts w:ascii="Times New Roman" w:hAnsi="Times New Roman" w:cs="Times New Roman"/>
          <w:sz w:val="32"/>
          <w:szCs w:val="32"/>
        </w:rPr>
      </w:pPr>
      <w:r w:rsidRPr="001F389A">
        <w:rPr>
          <w:rFonts w:ascii="Times New Roman" w:hAnsi="Times New Roman" w:cs="Times New Roman"/>
          <w:sz w:val="32"/>
          <w:szCs w:val="32"/>
        </w:rPr>
        <w:t>Суд устанавливает срок, в течение которого штраф должен быть уплачен. При нарушении срока судебный штраф отменяется, а лицо подлежит привлечению к уголовной ответственности.</w:t>
      </w:r>
    </w:p>
    <w:sectPr w:rsidR="00DF4C3F" w:rsidRPr="001F389A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C481A"/>
    <w:rsid w:val="001C481A"/>
    <w:rsid w:val="001F389A"/>
    <w:rsid w:val="003F0617"/>
    <w:rsid w:val="00DF4C3F"/>
    <w:rsid w:val="00FD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2020-08-13T08:06:00Z</dcterms:created>
  <dcterms:modified xsi:type="dcterms:W3CDTF">2020-08-14T13:00:00Z</dcterms:modified>
</cp:coreProperties>
</file>