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  <w:highlight w:val="white"/>
        </w:rPr>
        <w:t xml:space="preserve">Увольнение государственных и муниципальных служащих в связи с утратой доверия </w:t>
      </w:r>
    </w:p>
    <w:p w14:paraId="02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Федеральные законы от 27.07.2004 № 79-ФЗ «О государственной гражданской службе Российской Федерации» и от 02.03.2007 № 25-ФЗ «О муниципальной службе в Российской Федерации» содержат в себе нормы, предусматривающие такой вид дисциплинарной ответственности государственных и муниципальных служащих как увольнение в связи с утратой доверия.</w:t>
      </w:r>
    </w:p>
    <w:p w14:paraId="03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Законами установлены исчерпывающие (полные) перечни оснований для применения данной меры ответственности.</w:t>
      </w:r>
    </w:p>
    <w:p w14:paraId="04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Так, согласно статье 59.2 Федерального закона «О государственной гражданской службе Российской Федерации» гражданский служащий подлежит увольнению в связи с утратой доверия в случаях:</w:t>
      </w:r>
    </w:p>
    <w:p w14:paraId="05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– непринятия мер по предотвращению и (или) урегулированию конфликта интересов, стороной которого он является;</w:t>
      </w:r>
    </w:p>
    <w:p w14:paraId="06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– непредставления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14:paraId="07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– участия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08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– осуществления гражданским служащим предпринимательской деятельности;</w:t>
      </w:r>
    </w:p>
    <w:p w14:paraId="09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– 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России или законодательством РФ;</w:t>
      </w:r>
    </w:p>
    <w:p w14:paraId="0A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– 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>
        <w:rPr>
          <w:rFonts w:ascii="Times New Roman" w:hAnsi="Times New Roman"/>
          <w:color w:val="000000"/>
          <w:sz w:val="24"/>
          <w:highlight w:val="white"/>
        </w:rPr>
        <w:t>Российской Федерации, владеть и (или) пользоваться иностранными финансовыми инструментами.</w:t>
      </w:r>
    </w:p>
    <w:p w14:paraId="0B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В соответствии со статьей 27.1 Федерального закона «О муниципальной службе в Российской Федерации» предусмотрены два основания увольнения муниципального служащего в связи с утратой доверия:</w:t>
      </w:r>
    </w:p>
    <w:p w14:paraId="0C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– за непринятие мер по предотвращению и (или) урегулированию конфликта интересов, стороной которого он является;</w:t>
      </w:r>
    </w:p>
    <w:p w14:paraId="0D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–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сведений.</w:t>
      </w:r>
    </w:p>
    <w:p w14:paraId="0E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В силу требований указанных выше законов при применении данного взыскания учитываются характер совершенного служащим коррупционного правонарушения, его тяжесть, обстоятельства, при которых оно совершено, соблюдение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</w:p>
    <w:p w14:paraId="0F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Так, в соответствии с пунктом 7 части 1 статьи 81 ТК РФ расторжение трудового договора по инициативе работодателя может произойти в случае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работодателя.</w:t>
      </w:r>
    </w:p>
    <w:p w14:paraId="10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Исходя из сложившейся судебной практики, по этому основанию (п.7 ч.1 ст. 81 ТК РФ) работника можно уволить, например, за использование вверенных ему денежных или товарных ценностей в личных целях, нарушение правил учета, хранения и выдачи этих ценностей, фиктивное списание товарных ценностей, кражу. Причем работодатель должен доказать факт совершения работником таких действий.</w:t>
      </w:r>
    </w:p>
    <w:p w14:paraId="11000000">
      <w:pPr>
        <w:pStyle w:val="Style_1"/>
        <w:widowControl w:val="1"/>
        <w:spacing w:after="57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Кроме того, работник может быть уволен по названному основанию и за проступки, совершенные вне рабочего времени, такие как кража, дача взятки или ее получение. Факт совершения подобных действий уже </w:t>
      </w:r>
      <w:r>
        <w:rPr>
          <w:rFonts w:ascii="Times New Roman" w:hAnsi="Times New Roman"/>
          <w:color w:val="000000"/>
          <w:sz w:val="24"/>
          <w:highlight w:val="white"/>
        </w:rPr>
        <w:t>устанавливает не работодатель, а соответствующий орган (суд), вынося обвинительный приговор.</w:t>
      </w:r>
    </w:p>
    <w:p w14:paraId="12000000">
      <w:pPr>
        <w:rPr>
          <w:color w:val="000000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2025-12-22T14:17:00Z</dcterms:created>
  <dcterms:modified xsi:type="dcterms:W3CDTF">2025-12-22T14:38:59Z</dcterms:modified>
</cp:coreProperties>
</file>