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7552FA" w:rsidRDefault="007552FA" w:rsidP="005E5E0A">
      <w:pPr>
        <w:jc w:val="both"/>
        <w:rPr>
          <w:rFonts w:ascii="Times New Roman" w:hAnsi="Times New Roman" w:cs="Times New Roman"/>
          <w:b/>
          <w:sz w:val="28"/>
          <w:szCs w:val="28"/>
        </w:rPr>
      </w:pPr>
      <w:r w:rsidRPr="007552FA">
        <w:rPr>
          <w:rFonts w:ascii="Times New Roman" w:hAnsi="Times New Roman" w:cs="Times New Roman"/>
          <w:b/>
          <w:sz w:val="28"/>
          <w:szCs w:val="28"/>
        </w:rPr>
        <w:t>Внесены изменения в Федеральный закон «Об оружии»</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Федеральным законом от 28 июня 2021 года № 231-ФЗ внесены изменения в Федеральный закон «Об оружии» и отдельные законодательные акты РФ, направленные на совершенствование государственного контроля в сфере оборота оружия.</w:t>
      </w:r>
    </w:p>
    <w:p w:rsidR="007552FA" w:rsidRPr="007552FA" w:rsidRDefault="007552FA" w:rsidP="007552FA">
      <w:pPr>
        <w:jc w:val="both"/>
        <w:rPr>
          <w:rFonts w:ascii="Times New Roman" w:hAnsi="Times New Roman" w:cs="Times New Roman"/>
          <w:sz w:val="28"/>
          <w:szCs w:val="28"/>
        </w:rPr>
      </w:pP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Устанавливаются критерии отнесения огнестрельного оружия к гладкоствольному или нарезному оружию.</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 xml:space="preserve">Запрещается: переделка оружия и основных частей огнестрельного оружия в целях изменения его технических характеристик, определяющих вид и категорию оружия, а также распространение информации о такой переделке; </w:t>
      </w:r>
      <w:proofErr w:type="gramStart"/>
      <w:r w:rsidRPr="007552FA">
        <w:rPr>
          <w:rFonts w:ascii="Times New Roman" w:hAnsi="Times New Roman" w:cs="Times New Roman"/>
          <w:sz w:val="28"/>
          <w:szCs w:val="28"/>
        </w:rPr>
        <w:t>выдача лицензий на приобретение оружия гражданам РФ, имеющим неснятую или непогашенную судимость за умышленное преступление либо снятую или погашенную судимость за тяжкое или особо тяжкое преступление, за преступление средней тяжести, совершенное с использованием оружия, взрывных устройств или иных предметов и веществ, причиняющих вред жизни и здоровью человека, за преступление, связанное с</w:t>
      </w:r>
      <w:proofErr w:type="gramEnd"/>
      <w:r w:rsidRPr="007552FA">
        <w:rPr>
          <w:rFonts w:ascii="Times New Roman" w:hAnsi="Times New Roman" w:cs="Times New Roman"/>
          <w:sz w:val="28"/>
          <w:szCs w:val="28"/>
        </w:rPr>
        <w:t xml:space="preserve"> </w:t>
      </w:r>
      <w:proofErr w:type="gramStart"/>
      <w:r w:rsidRPr="007552FA">
        <w:rPr>
          <w:rFonts w:ascii="Times New Roman" w:hAnsi="Times New Roman" w:cs="Times New Roman"/>
          <w:sz w:val="28"/>
          <w:szCs w:val="28"/>
        </w:rPr>
        <w:t>незаконным оборотом оружия, за преступление террористического характера или экстремистской направленности, за насильственное преступление в отношении несовершеннолетнего, гражданам Российской Федерации, два и более раза осужденным за совершение преступлений, а также привлеченным к административной ответственности за административное правонарушение, в качестве одного из видов наказания за которое установлен административный арест (до истечения одного года со дня окончания срока, в течение которого лицо считается</w:t>
      </w:r>
      <w:proofErr w:type="gramEnd"/>
      <w:r w:rsidRPr="007552FA">
        <w:rPr>
          <w:rFonts w:ascii="Times New Roman" w:hAnsi="Times New Roman" w:cs="Times New Roman"/>
          <w:sz w:val="28"/>
          <w:szCs w:val="28"/>
        </w:rPr>
        <w:t xml:space="preserve"> </w:t>
      </w:r>
      <w:proofErr w:type="gramStart"/>
      <w:r w:rsidRPr="007552FA">
        <w:rPr>
          <w:rFonts w:ascii="Times New Roman" w:hAnsi="Times New Roman" w:cs="Times New Roman"/>
          <w:sz w:val="28"/>
          <w:szCs w:val="28"/>
        </w:rPr>
        <w:t>подвергнутым</w:t>
      </w:r>
      <w:proofErr w:type="gramEnd"/>
      <w:r w:rsidRPr="007552FA">
        <w:rPr>
          <w:rFonts w:ascii="Times New Roman" w:hAnsi="Times New Roman" w:cs="Times New Roman"/>
          <w:sz w:val="28"/>
          <w:szCs w:val="28"/>
        </w:rPr>
        <w:t xml:space="preserve"> административному наказанию).</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Вводится обязательная процедура экспертного исследования гражданского и служебного оружия в органах внутренних дел на предмет его соответствия криминалистическим требованиям, исключающим либо затрудняющим использование оружия в преступных целях.</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 xml:space="preserve">Не допускается приобретение огнестрельного оружия гражданами РФ, не достигшими возраста 21 года, если они не прошли либо не проходят службу в государственных военизированных организациях, не осуществляют трудовую деятельность с использованием оружия, не занимаются </w:t>
      </w:r>
      <w:r w:rsidRPr="007552FA">
        <w:rPr>
          <w:rFonts w:ascii="Times New Roman" w:hAnsi="Times New Roman" w:cs="Times New Roman"/>
          <w:sz w:val="28"/>
          <w:szCs w:val="28"/>
        </w:rPr>
        <w:lastRenderedPageBreak/>
        <w:t>стрелковым спортом, а также не являются представителями коренных малочисленных народов РФ.</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Гражданам РФ, впервые приобретающим огнестрельное оружие, в течение первых двух лет владения им запрещается приобретение, хранение и использование огнестрельного оружия, имеющего более двух стволов или магазин (барабан). На владельцев оружия возлагается обязанность предоставлять должностным лицам федерального органа исполнительной власти, уполномоченного в сфере оборота оружия, доступ к местам хранения оружия и представлять оружие для осмотра.</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Одновременно исключается возможность предоставления государственных услуг в сфере оборота оружия в многофункциональных центрах.</w:t>
      </w:r>
    </w:p>
    <w:p w:rsidR="007552FA" w:rsidRPr="007552FA" w:rsidRDefault="007552FA" w:rsidP="007552FA">
      <w:pPr>
        <w:jc w:val="both"/>
        <w:rPr>
          <w:rFonts w:ascii="Times New Roman" w:hAnsi="Times New Roman" w:cs="Times New Roman"/>
          <w:sz w:val="28"/>
          <w:szCs w:val="28"/>
        </w:rPr>
      </w:pPr>
      <w:r w:rsidRPr="007552FA">
        <w:rPr>
          <w:rFonts w:ascii="Times New Roman" w:hAnsi="Times New Roman" w:cs="Times New Roman"/>
          <w:sz w:val="28"/>
          <w:szCs w:val="28"/>
        </w:rPr>
        <w:t>Федеральный закон вступает в силу по истечении одного года со дня его опубликования, за исключением правовых норм, определяющих порядок предоставления лицензий и разрешений в сфере оборота оружия в электронной форме, которые начинают действовать с 01.01.2022.</w:t>
      </w:r>
    </w:p>
    <w:p w:rsidR="007552FA" w:rsidRDefault="007552FA" w:rsidP="005E5E0A">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921DF"/>
    <w:rsid w:val="000A0296"/>
    <w:rsid w:val="000A1508"/>
    <w:rsid w:val="000A69CC"/>
    <w:rsid w:val="000C3D6A"/>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1048"/>
    <w:rsid w:val="002312C5"/>
    <w:rsid w:val="00232CD5"/>
    <w:rsid w:val="002458E7"/>
    <w:rsid w:val="0024769C"/>
    <w:rsid w:val="002562CB"/>
    <w:rsid w:val="00264AD4"/>
    <w:rsid w:val="00266A40"/>
    <w:rsid w:val="00276FF5"/>
    <w:rsid w:val="002903D8"/>
    <w:rsid w:val="002A1052"/>
    <w:rsid w:val="002A53CD"/>
    <w:rsid w:val="002B4019"/>
    <w:rsid w:val="002D33C1"/>
    <w:rsid w:val="002D560A"/>
    <w:rsid w:val="002E0FAA"/>
    <w:rsid w:val="002F454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148EE"/>
    <w:rsid w:val="0045009C"/>
    <w:rsid w:val="004507AB"/>
    <w:rsid w:val="004578FD"/>
    <w:rsid w:val="00466B3E"/>
    <w:rsid w:val="00477E25"/>
    <w:rsid w:val="00481076"/>
    <w:rsid w:val="004872D3"/>
    <w:rsid w:val="00496BFD"/>
    <w:rsid w:val="004A360D"/>
    <w:rsid w:val="004B0E6C"/>
    <w:rsid w:val="004D137E"/>
    <w:rsid w:val="004D15D4"/>
    <w:rsid w:val="004D24F4"/>
    <w:rsid w:val="004D5EC9"/>
    <w:rsid w:val="004D731A"/>
    <w:rsid w:val="004D73CD"/>
    <w:rsid w:val="004F7A07"/>
    <w:rsid w:val="0051513D"/>
    <w:rsid w:val="00522486"/>
    <w:rsid w:val="005240EB"/>
    <w:rsid w:val="00537BBC"/>
    <w:rsid w:val="00545F98"/>
    <w:rsid w:val="005461D9"/>
    <w:rsid w:val="00551F21"/>
    <w:rsid w:val="00552E88"/>
    <w:rsid w:val="005624B8"/>
    <w:rsid w:val="00564ABC"/>
    <w:rsid w:val="005A379B"/>
    <w:rsid w:val="005B3C22"/>
    <w:rsid w:val="005B775D"/>
    <w:rsid w:val="005C3F2B"/>
    <w:rsid w:val="005C6FE2"/>
    <w:rsid w:val="005C78E3"/>
    <w:rsid w:val="005D11F0"/>
    <w:rsid w:val="005D254D"/>
    <w:rsid w:val="005E4A97"/>
    <w:rsid w:val="005E4B11"/>
    <w:rsid w:val="005E5E0A"/>
    <w:rsid w:val="005F1300"/>
    <w:rsid w:val="005F3D97"/>
    <w:rsid w:val="005F49B4"/>
    <w:rsid w:val="00602F87"/>
    <w:rsid w:val="0060713A"/>
    <w:rsid w:val="00613631"/>
    <w:rsid w:val="00617748"/>
    <w:rsid w:val="00620613"/>
    <w:rsid w:val="0063764A"/>
    <w:rsid w:val="00640C08"/>
    <w:rsid w:val="0064140B"/>
    <w:rsid w:val="006505B7"/>
    <w:rsid w:val="00656732"/>
    <w:rsid w:val="00667A40"/>
    <w:rsid w:val="006817FB"/>
    <w:rsid w:val="00683215"/>
    <w:rsid w:val="0069253D"/>
    <w:rsid w:val="006A4BB5"/>
    <w:rsid w:val="006C6B53"/>
    <w:rsid w:val="006C79B5"/>
    <w:rsid w:val="006D0CA9"/>
    <w:rsid w:val="006E15EF"/>
    <w:rsid w:val="006E7FBD"/>
    <w:rsid w:val="006F2FEA"/>
    <w:rsid w:val="006F3892"/>
    <w:rsid w:val="006F50D1"/>
    <w:rsid w:val="00704913"/>
    <w:rsid w:val="00732E1F"/>
    <w:rsid w:val="00733587"/>
    <w:rsid w:val="00736D76"/>
    <w:rsid w:val="00740137"/>
    <w:rsid w:val="0074015C"/>
    <w:rsid w:val="007552FA"/>
    <w:rsid w:val="00765A22"/>
    <w:rsid w:val="00771068"/>
    <w:rsid w:val="00772298"/>
    <w:rsid w:val="007742CC"/>
    <w:rsid w:val="00776A87"/>
    <w:rsid w:val="0078301B"/>
    <w:rsid w:val="007836FD"/>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40439"/>
    <w:rsid w:val="00A4501E"/>
    <w:rsid w:val="00A642BC"/>
    <w:rsid w:val="00A67078"/>
    <w:rsid w:val="00A75BEB"/>
    <w:rsid w:val="00A76238"/>
    <w:rsid w:val="00A81483"/>
    <w:rsid w:val="00A84242"/>
    <w:rsid w:val="00A85157"/>
    <w:rsid w:val="00AB494C"/>
    <w:rsid w:val="00AC08DB"/>
    <w:rsid w:val="00AC6BB4"/>
    <w:rsid w:val="00AD3DE6"/>
    <w:rsid w:val="00AF20C7"/>
    <w:rsid w:val="00AF5014"/>
    <w:rsid w:val="00AF6ECA"/>
    <w:rsid w:val="00B01919"/>
    <w:rsid w:val="00B05D13"/>
    <w:rsid w:val="00B10F89"/>
    <w:rsid w:val="00B123C8"/>
    <w:rsid w:val="00B16629"/>
    <w:rsid w:val="00B256C7"/>
    <w:rsid w:val="00B36784"/>
    <w:rsid w:val="00B417D8"/>
    <w:rsid w:val="00B53408"/>
    <w:rsid w:val="00B57B63"/>
    <w:rsid w:val="00B65A47"/>
    <w:rsid w:val="00B8486D"/>
    <w:rsid w:val="00B939DC"/>
    <w:rsid w:val="00B95DA0"/>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8290B"/>
    <w:rsid w:val="00D84A7A"/>
    <w:rsid w:val="00D85C8E"/>
    <w:rsid w:val="00D91921"/>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4330"/>
    <w:rsid w:val="00E4703D"/>
    <w:rsid w:val="00E60774"/>
    <w:rsid w:val="00E6492D"/>
    <w:rsid w:val="00E65DE5"/>
    <w:rsid w:val="00E75125"/>
    <w:rsid w:val="00E80DEE"/>
    <w:rsid w:val="00E84612"/>
    <w:rsid w:val="00EC28EA"/>
    <w:rsid w:val="00EC5CCD"/>
    <w:rsid w:val="00EF29AB"/>
    <w:rsid w:val="00EF60FB"/>
    <w:rsid w:val="00EF6B2F"/>
    <w:rsid w:val="00F10A17"/>
    <w:rsid w:val="00F2344D"/>
    <w:rsid w:val="00F243A5"/>
    <w:rsid w:val="00F24592"/>
    <w:rsid w:val="00F24CBF"/>
    <w:rsid w:val="00F61F24"/>
    <w:rsid w:val="00F919B3"/>
    <w:rsid w:val="00F97713"/>
    <w:rsid w:val="00FA5F82"/>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2021-08-27T06:28:00Z</dcterms:created>
  <dcterms:modified xsi:type="dcterms:W3CDTF">2021-08-27T06:29:00Z</dcterms:modified>
</cp:coreProperties>
</file>