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956B13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октября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765E9" w:rsidRDefault="009765E9" w:rsidP="00976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5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765E9" w:rsidRPr="009765E9" w:rsidRDefault="009765E9" w:rsidP="009765E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>от 03 октября  2022 года  № 115</w:t>
      </w:r>
    </w:p>
    <w:p w:rsidR="009765E9" w:rsidRPr="009765E9" w:rsidRDefault="009765E9" w:rsidP="009765E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765E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765E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5E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и размерах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возмещения расходов,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>связанных</w:t>
      </w:r>
      <w:proofErr w:type="gramEnd"/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 со служебными командировками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муниципальных служащих </w:t>
      </w: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>Сельского поселения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работников, 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 техническому обеспечению деятельности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9765E9">
        <w:rPr>
          <w:rFonts w:ascii="Times New Roman" w:hAnsi="Times New Roman" w:cs="Times New Roman"/>
          <w:color w:val="000000"/>
          <w:sz w:val="24"/>
          <w:szCs w:val="24"/>
        </w:rPr>
        <w:t>Заполярного района Ненецкого автономного округа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9765E9" w:rsidRPr="009765E9" w:rsidRDefault="009765E9" w:rsidP="009765E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Руководствуясь статьей 168 Трудового кодекса Российской Федерации, </w:t>
      </w:r>
      <w:hyperlink r:id="rId8" w:history="1">
        <w:r w:rsidRPr="009765E9"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t>частью 2 статьи 3</w:t>
        </w:r>
      </w:hyperlink>
      <w:r w:rsidRPr="009765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Федерального закона от 02.03. 2007 N 25-ФЗ "О муниципальной службе в Российской Федерации", пунктом 2.8. </w:t>
      </w:r>
      <w:r w:rsidRPr="009765E9">
        <w:rPr>
          <w:rFonts w:ascii="Times New Roman" w:hAnsi="Times New Roman" w:cs="Times New Roman"/>
          <w:sz w:val="24"/>
          <w:szCs w:val="24"/>
        </w:rPr>
        <w:t>Порядка обеспечения отдельных гарантий  Главе Сельского поселения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утвержденным решением Совета депутатов Сельского поселения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30.09.2022 № 12,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Администрация Сельского поселения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порядке и размерах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возмещения расходов, связанных со служебными командировками муниципальных служащих </w:t>
      </w: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sz w:val="24"/>
          <w:szCs w:val="24"/>
        </w:rPr>
        <w:t xml:space="preserve">,  работников, 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 техническому обеспечению деятельности 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765E9">
        <w:rPr>
          <w:rFonts w:ascii="Times New Roman" w:hAnsi="Times New Roman" w:cs="Times New Roman"/>
          <w:sz w:val="24"/>
          <w:szCs w:val="24"/>
        </w:rPr>
        <w:t xml:space="preserve">Установить, что Главе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возмещаются расходы, связанные со служебными командировками согласно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Положения  о порядке и размерах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возмещения расходов, связанных со служебными командировками муниципальных служащих </w:t>
      </w: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sz w:val="24"/>
          <w:szCs w:val="24"/>
        </w:rPr>
        <w:t xml:space="preserve">,  работников, 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 техническому обеспечению деятельности 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утвержденного</w:t>
      </w:r>
      <w:proofErr w:type="gram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постановлением.</w:t>
      </w:r>
    </w:p>
    <w:p w:rsidR="009765E9" w:rsidRDefault="009765E9" w:rsidP="009765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765E9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МО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НАО  от 09.04.2015 № 54  «Об утверждении Положения о порядке и размерах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возмещения расходов, связанных со служебными командировками, лиц, замещающих муниципальные должности  </w:t>
      </w:r>
      <w:r w:rsidRPr="009765E9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 работников, 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замещающих должности </w:t>
      </w:r>
      <w:r w:rsidRPr="009765E9">
        <w:rPr>
          <w:rFonts w:ascii="Times New Roman" w:hAnsi="Times New Roman" w:cs="Times New Roman"/>
          <w:sz w:val="24"/>
          <w:szCs w:val="24"/>
        </w:rPr>
        <w:t>по техническому обеспечению деятельности Администрации муниципального образования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  <w:proofErr w:type="gramEnd"/>
    </w:p>
    <w:p w:rsidR="009765E9" w:rsidRPr="009765E9" w:rsidRDefault="009765E9" w:rsidP="009765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 официального опубликования (обнародования).</w:t>
      </w:r>
    </w:p>
    <w:p w:rsidR="009765E9" w:rsidRPr="009765E9" w:rsidRDefault="009765E9" w:rsidP="009765E9">
      <w:pPr>
        <w:pStyle w:val="ab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765E9" w:rsidRPr="009765E9" w:rsidRDefault="009765E9" w:rsidP="009765E9">
      <w:pPr>
        <w:pStyle w:val="ab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sz w:val="24"/>
          <w:szCs w:val="24"/>
        </w:rPr>
        <w:t xml:space="preserve"> сельсовет» ЗР НАО      </w:t>
      </w:r>
      <w:r w:rsidRPr="009765E9">
        <w:rPr>
          <w:rFonts w:ascii="Times New Roman" w:hAnsi="Times New Roman" w:cs="Times New Roman"/>
          <w:sz w:val="24"/>
          <w:szCs w:val="24"/>
        </w:rPr>
        <w:tab/>
      </w:r>
      <w:r w:rsidRPr="009765E9">
        <w:rPr>
          <w:rFonts w:ascii="Times New Roman" w:hAnsi="Times New Roman" w:cs="Times New Roman"/>
          <w:sz w:val="24"/>
          <w:szCs w:val="24"/>
        </w:rPr>
        <w:tab/>
      </w:r>
      <w:r w:rsidRPr="009765E9">
        <w:rPr>
          <w:rFonts w:ascii="Times New Roman" w:hAnsi="Times New Roman" w:cs="Times New Roman"/>
          <w:sz w:val="24"/>
          <w:szCs w:val="24"/>
        </w:rPr>
        <w:tab/>
      </w:r>
      <w:r w:rsidRPr="009765E9">
        <w:rPr>
          <w:rFonts w:ascii="Times New Roman" w:hAnsi="Times New Roman" w:cs="Times New Roman"/>
          <w:sz w:val="24"/>
          <w:szCs w:val="24"/>
        </w:rPr>
        <w:tab/>
      </w:r>
      <w:r w:rsidRPr="009765E9">
        <w:rPr>
          <w:rFonts w:ascii="Times New Roman" w:hAnsi="Times New Roman" w:cs="Times New Roman"/>
          <w:sz w:val="24"/>
          <w:szCs w:val="24"/>
        </w:rPr>
        <w:tab/>
      </w:r>
      <w:r w:rsidRPr="009765E9">
        <w:rPr>
          <w:rFonts w:ascii="Times New Roman" w:hAnsi="Times New Roman" w:cs="Times New Roman"/>
          <w:sz w:val="24"/>
          <w:szCs w:val="24"/>
        </w:rPr>
        <w:tab/>
        <w:t xml:space="preserve">      Д.С.Якубович                               </w:t>
      </w:r>
    </w:p>
    <w:p w:rsidR="009765E9" w:rsidRDefault="009765E9" w:rsidP="009765E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9765E9" w:rsidRPr="009765E9" w:rsidRDefault="009765E9" w:rsidP="009765E9">
      <w:pPr>
        <w:pStyle w:val="ab"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</w:rPr>
        <w:lastRenderedPageBreak/>
        <w:t>Приложение</w:t>
      </w:r>
    </w:p>
    <w:p w:rsidR="009765E9" w:rsidRPr="009765E9" w:rsidRDefault="009765E9" w:rsidP="009765E9">
      <w:pPr>
        <w:pStyle w:val="ab"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</w:rPr>
        <w:t xml:space="preserve">к постановлению Администрации  Сельского поселения </w:t>
      </w:r>
    </w:p>
    <w:p w:rsidR="009765E9" w:rsidRPr="009765E9" w:rsidRDefault="009765E9" w:rsidP="009765E9">
      <w:pPr>
        <w:pStyle w:val="ab"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9765E9">
        <w:rPr>
          <w:rFonts w:ascii="Times New Roman" w:hAnsi="Times New Roman" w:cs="Times New Roman"/>
        </w:rPr>
        <w:t xml:space="preserve"> сельсовет» Заполярного района</w:t>
      </w:r>
    </w:p>
    <w:p w:rsidR="009765E9" w:rsidRPr="009765E9" w:rsidRDefault="009765E9" w:rsidP="009765E9">
      <w:pPr>
        <w:pStyle w:val="ab"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</w:rPr>
        <w:t xml:space="preserve"> Ненецкого автономного округа  </w:t>
      </w:r>
    </w:p>
    <w:p w:rsidR="009765E9" w:rsidRPr="009765E9" w:rsidRDefault="009765E9" w:rsidP="009765E9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</w:rPr>
        <w:t xml:space="preserve">        от 03.10.2022 №  115</w:t>
      </w:r>
    </w:p>
    <w:p w:rsidR="009765E9" w:rsidRPr="009765E9" w:rsidRDefault="009765E9" w:rsidP="009765E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765E9" w:rsidRPr="009765E9" w:rsidRDefault="009765E9" w:rsidP="009765E9">
      <w:pPr>
        <w:pStyle w:val="af8"/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>Положение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 о порядке и размерах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возмещения расходов,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>связанных</w:t>
      </w:r>
      <w:proofErr w:type="gramEnd"/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 со служебными командировками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4"/>
          <w:szCs w:val="24"/>
        </w:rPr>
      </w:pP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муниципальных служащих </w:t>
      </w: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>Сельского поселения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работников, 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 техническому обеспечению деятельности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 w:val="0"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9765E9">
        <w:rPr>
          <w:rFonts w:ascii="Times New Roman" w:hAnsi="Times New Roman" w:cs="Times New Roman"/>
          <w:color w:val="000000"/>
          <w:sz w:val="24"/>
          <w:szCs w:val="24"/>
        </w:rPr>
        <w:t>Заполярного района Ненецкого автономного округа</w:t>
      </w:r>
    </w:p>
    <w:p w:rsidR="009765E9" w:rsidRPr="009765E9" w:rsidRDefault="009765E9" w:rsidP="009765E9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1. При направлении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муниципальных служащих </w:t>
      </w:r>
      <w:r w:rsidRPr="009765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sz w:val="24"/>
          <w:szCs w:val="24"/>
        </w:rPr>
        <w:t xml:space="preserve">,  работников, 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sz w:val="24"/>
          <w:szCs w:val="24"/>
        </w:rPr>
        <w:t xml:space="preserve">по техническому обеспечению деятельности 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(далее по тексту - работник) в служебную командировку ему гарантируется сохранение среднего заработка, а также возмещаются: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а) расходы по проезду к месту командирования и обратно - к месту постоянной работы (включая оплату услуг по бронированию и оформлению проездных и перевозочных документов, предоставлению в поездах постельных принадлежностей, сервисный, комиссионный сборы, оплату стоимости провоза багажа к месту командирования и обратно на воздушном транспорте, подтвержденной перевозочными документами, содержащими информацию о стоимости провоза багажа, в случае оформления (приобретения) перевозочных документов (билетов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) по тарифу, не предусматривающему норму бесплатного провоза багажа);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б) расходы по проезду из одного населенного пункта в другой, если работник командирован в несколько организаций, расположенных в разных населенных пунктах;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в) расходы по бронированию и найму жилого помещения;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г) дополнительные расходы, связанные с проживанием вне постоянного места жительства (суточные);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765E9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9765E9">
        <w:rPr>
          <w:rFonts w:ascii="Times New Roman" w:eastAsia="Calibri" w:hAnsi="Times New Roman" w:cs="Times New Roman"/>
          <w:sz w:val="24"/>
          <w:szCs w:val="24"/>
        </w:rPr>
        <w:t>) иные расходы, связанные со служебной командировкой (при условии, что они произведены с разрешения работодателя).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2.  Срок служебной командировки работника определяется работодателем с учетом объема, сложности и других особенностей служебного поручения. Продление срока служебной командировки работника допускается работодателем в исключительных случаях, но не более чем на 5 календарных дней.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Днем выезда в служебную командировку считается день отправления поезда, самолета, автобуса или другого транспортного средства от места постоянной работы командированного работника либо места фактического нахождения работника, а днем приезда из служебной командировки день прибытия указанного транспортного средства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в место постоянной работы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. Вопрос о явке работника на работу в день выезда в служебную командировку и в день приезда из служебной командировки решается по договоренности с работодателем.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3.  Средний заработок за период нахождения работника в служебной командировке сохраняется за все рабочие дни по графику, установленному на постоянном месте работы.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4.   При направлении работника в служебную командировку на территорию иностранного государства ему дополнительно возмещаются: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lastRenderedPageBreak/>
        <w:t>в) сборы за право въезда или транзита автомобильного транспорта;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765E9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9765E9">
        <w:rPr>
          <w:rFonts w:ascii="Times New Roman" w:eastAsia="Calibri" w:hAnsi="Times New Roman" w:cs="Times New Roman"/>
          <w:sz w:val="24"/>
          <w:szCs w:val="24"/>
        </w:rPr>
        <w:t>) иные обязательные платежи и сборы.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В случае временной нетрудоспособности командированного работника, удостоверенной в установленном порядке, ему возмещаются расходы по найму жилого помещения (кроме случаев, когда работник находился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задания или вернуться к постоянному месту жительства.</w:t>
      </w:r>
      <w:proofErr w:type="gramEnd"/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6.   Дополнительные расходы, связанные с </w:t>
      </w:r>
      <w:r w:rsidRPr="009765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проживанием вне места жительства (суточные), возмещаются работнику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пути, в размерах, установленных в </w:t>
      </w:r>
      <w:hyperlink w:anchor="Par73" w:history="1">
        <w:r w:rsidRPr="009765E9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Приложении</w:t>
        </w:r>
      </w:hyperlink>
      <w:r w:rsidRPr="009765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настоящему  Положению.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7.    Работнику оплачиваются расходы по проезду автомобильным транспортом общего пользования (кроме такси), а также электропоездом до железнодорожной станции, пристани, аэропорта и автовокзала при наличии документов (билетов), подтверждающих эти расходы.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8.      В случае командирования работника в такую местность, откуда он по условиям транспортного сообщения и характеру выполняемого задания имеет возможность ежедневно возвращаться к постоянному месту жительства, суточные не выплачиваются.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9.    Если командированный работник по окончании рабочего дня по согласованию с работодателем остается в месте командирования, то при предоставлении документов о найме жилого помещения эти расходы возмещаются ему в размерах, не превышающих устанавливаемых Правительством Российской Федерации для работников организаций, финансируемых за счет средств федерального бюджета.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Вопрос о целесообразности ежедневного возвращения из места командирования к постоянному месту жительства в каждом конкретном случае решается работодателем с учетом расстояния, условий транспортного сообщения, характера выполняемого задания, а также необходимости создания условий для отдыха.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В случае командирования работника на один день суточные выплачиваются в размере, не превышающем 50 процентов нормы расходов на выплату суточных, устанавливаемой в </w:t>
      </w:r>
      <w:hyperlink w:anchor="Par73" w:history="1">
        <w:r w:rsidRPr="009765E9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Приложении</w:t>
        </w:r>
      </w:hyperlink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к настоящему Положению.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10.  При направлении работника в служебную командировку за пределы территории Российской Федерации суточные выплачиваются в иностранной валюте или в рублях по курсу доллара США в размерах, не превышающих устанавливаемых Правительством Российской Федерации для работников организаций, финансируемых за счет средств федерального бюджета. При этом сумма суточных, выплачиваемых в рублях, рассчитывается по официальному курсу, установленному Центральным банком Российской Федерации, за каждый день нахождения в командировке за пределами территории Российской Федерации.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11.    За время нахождения в пути работника, направляемого в служебную командировку за пределы территории </w:t>
      </w:r>
      <w:r w:rsidRPr="009765E9">
        <w:rPr>
          <w:rFonts w:ascii="Times New Roman" w:eastAsia="Calibri" w:hAnsi="Times New Roman" w:cs="Times New Roman"/>
          <w:color w:val="000000"/>
          <w:sz w:val="24"/>
          <w:szCs w:val="24"/>
        </w:rPr>
        <w:t>Российской Федерации, суточные выплачиваются: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при проезде по территории Российской Федерации - в порядке и пределах, установленных в </w:t>
      </w:r>
      <w:hyperlink w:anchor="Par73" w:history="1">
        <w:r w:rsidRPr="009765E9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Приложении</w:t>
        </w:r>
      </w:hyperlink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к настоящему Положению;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б) при проезде по территории иностранного государства - в порядке и в пределах, установленных для служебных командировок на территории иностранных госуда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рств дл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я работников организаций, финансируемых за счет средств федерального бюджета.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12.   При следовании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lastRenderedPageBreak/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При направлении в служебную командировку на территории двух 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13.   При направлении работника в служебную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14.  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Работникам, выбывшим в служебную командировку на территорию иностранного государства и возвратившимся на территорию Российской Федерации в тот же день, суточные в иностранной валюте выплачиваются в размере, не превышающем 50 процентов нормы расходов на выплату суточных, устанавливаемой Правительством Российской Федерации при служебных командировках на территории иностранных государств для работников организаций, финансируемых за счет средств федерального бюджета.</w:t>
      </w:r>
      <w:proofErr w:type="gramEnd"/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15.   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или рублями на личные расходы за счет принимающей стороны, направляющая сторона выплату суточных в иностранной валюте не производит.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Если принимающая сторона не выплачивает указанному работнику иностранную валюту или рубли на личные расходы, но предоставляет ему за свой счет питание, направляющая сторона выплачивает ему за свой счет суточные в иностранной валюте или в рублях по курсу доллара США в размере 30 процентов суточных, установленных Правительством Российской Федерации при служебных командировках на территории иностранных государств, за счет средств федерального бюджета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16.   Расходы по найму жилого помещения при направлении в служебные командировки на территории иностранных государств возмещаются по фактическим затратам, подтвержденным соответствующими документами.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17.  Расходы по проезду при направлении в служебную командировку на территории иностранных государств возмещаются в том же порядке, что и при направлении в служебную командировку в пределах территории Российской Федерации.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18.   При направлении работника в служебную командировку ему выдается денежный аванс на оплату расходов по проезду, по найму жилого помещения и дополнительных расходов, связанных с проживанием вне постоянного места жительства (суточные).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19.   Работник обязан по возвращении из служебной командировки в течение трех рабочих дней представить авансовый отчет об израсходованных в связи со служебной командировкой суммах по установленной форме и произвести окончательный расчет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по выданному ему перед отъездом в служебную командировку денежному авансу на командировочные расходы с приложением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проездных и перевозочных документов (билетов, в том числе электронных билетов (маршрут/квитанций) и электронных проездных документов на бумажном носителе, посадочных талонов и купонов, контрольных купонов, багажных квитанций, в том числе электронных, на бумажном носителе), подтверждающих стоимость проезда работника;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документов о найме жилого помещения;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- документов, подтверждающих оплату услуг по бронированию и оформлению проездных и перевозочных документов, предоставлению в поездах постельных принадлежностей, оплату сервисного, комиссионного сборов, иных обязательных платежей и сборов, а также иных расходов, связанных со служебной командировкой, произведенных с разрешения или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ведома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работодателя.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При отсутствии проездных и (или) перевозочных документов (билетов, посадочных талонов и купонов, контрольных купонов) возмещение расходов по проезду к месту командирования и обратно производится при предоставлении работником справки соответствующей транспортной организации </w:t>
      </w:r>
      <w:r w:rsidRPr="009765E9">
        <w:rPr>
          <w:rFonts w:ascii="Times New Roman" w:eastAsia="Calibri" w:hAnsi="Times New Roman" w:cs="Times New Roman"/>
          <w:sz w:val="24"/>
          <w:szCs w:val="24"/>
        </w:rPr>
        <w:lastRenderedPageBreak/>
        <w:t>о подтверждении проезда (перелета), совершенного работником к месту командирования и (или) обратно. Расходы на получение такой справки возмещению не подлежат.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В случае проживания не в одноместном номере работник представляет справку о стоимости одного места в номере. В случае отсутствия в документах, подтверждающих расходы по бронированию и найму жилых помещений, оформляемых гостиницами или иными средствами размещения, информации о категории номера, указанные расходы возмещаются на основании справки о категории номера, занимаемого работником, выданной гостиницами или иными средствами размещения.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Фактический срок пребывания работника в месте командирования определяется по проездным и (или) перевозочным документам, представляемым работником по возвращении из служебной командировки.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проездных и (или) перевозочных документов фактический срок пребывания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кассовым чеком или документом, оформленным на бланке строгой отчетности,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подтверждающими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оплату гостиничных услуг.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При отсутствии проездных и (или) перевозочных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прибытия (убытия) работника к месту командирования (из места командировки).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Если срок пребывания работника в месте командирования, определяемый по проездным и (или) перевозочным документам, не соответствует сроку пребывания работника в месте командирования, определенному решением работодателя о направлении работника в служебную командировку, расходы по найму жилого помещения и суточные за период, выходящий за пределы срока пребывания в месте командирования, определенного решением работодателя о направлении работника в служебную командировку, не возмещаются, а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расходы по проезду к месту командирования и обратно подлежат возмещению в полном объеме.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В случае если работник из места командирования не возвращается к месту постоянной работы, а остается для проведения отпуска, расходы по проезду от места командирования к месту постоянной работы возмещению не подлежат.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20.  Возмещение иных расходов, связанных со служебной командировкой и произведенных с разрешения работодателя, осуществляется при представлении документов, подтверждающих эти расходы.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Расходы, связанные со служебными командировками, в том числе и расходы, размеры которых превышают установленные размеры (при условии, что они произведены работником с разрешения работодателя), возмещаются в пределах ассигнований, выделенных Администрации </w:t>
      </w:r>
      <w:r w:rsidRPr="009765E9">
        <w:rPr>
          <w:rFonts w:ascii="Times New Roman" w:eastAsia="Calibri" w:hAnsi="Times New Roman" w:cs="Times New Roman"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 из местного бюджета на обеспечение ее деятельности.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65E9" w:rsidRPr="009765E9" w:rsidRDefault="009765E9" w:rsidP="009765E9">
      <w:pPr>
        <w:autoSpaceDE w:val="0"/>
        <w:autoSpaceDN w:val="0"/>
        <w:adjustRightInd w:val="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765E9" w:rsidRDefault="009765E9" w:rsidP="009765E9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</w:rPr>
      </w:pP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eastAsia="Calibri" w:hAnsi="Times New Roman" w:cs="Times New Roman"/>
        </w:rPr>
      </w:pPr>
      <w:r w:rsidRPr="009765E9">
        <w:rPr>
          <w:rFonts w:ascii="Times New Roman" w:eastAsia="Calibri" w:hAnsi="Times New Roman" w:cs="Times New Roman"/>
        </w:rPr>
        <w:lastRenderedPageBreak/>
        <w:t>Приложение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9765E9">
        <w:rPr>
          <w:rFonts w:ascii="Times New Roman" w:eastAsia="Calibri" w:hAnsi="Times New Roman" w:cs="Times New Roman"/>
        </w:rPr>
        <w:t xml:space="preserve">к </w:t>
      </w:r>
      <w:r w:rsidRPr="009765E9">
        <w:rPr>
          <w:rFonts w:ascii="Times New Roman" w:hAnsi="Times New Roman" w:cs="Times New Roman"/>
        </w:rPr>
        <w:t xml:space="preserve">Положению о порядке и размерах </w:t>
      </w:r>
      <w:r w:rsidRPr="009765E9">
        <w:rPr>
          <w:rFonts w:ascii="Times New Roman" w:eastAsia="Calibri" w:hAnsi="Times New Roman" w:cs="Times New Roman"/>
          <w:bCs/>
        </w:rPr>
        <w:t xml:space="preserve">возмещения расходов,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  <w:bCs/>
        </w:rPr>
      </w:pPr>
      <w:r w:rsidRPr="009765E9">
        <w:rPr>
          <w:rFonts w:ascii="Times New Roman" w:eastAsia="Calibri" w:hAnsi="Times New Roman" w:cs="Times New Roman"/>
          <w:bCs/>
        </w:rPr>
        <w:t xml:space="preserve">связанных со служебными командировками муниципальных служащих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</w:rPr>
      </w:pPr>
      <w:r w:rsidRPr="009765E9">
        <w:rPr>
          <w:rFonts w:ascii="Times New Roman" w:hAnsi="Times New Roman" w:cs="Times New Roman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</w:rPr>
        <w:t xml:space="preserve"> сельсовет»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  <w:color w:val="000000"/>
        </w:rPr>
        <w:t>Заполярного района Ненецкого автономного округа</w:t>
      </w:r>
      <w:r w:rsidRPr="009765E9">
        <w:rPr>
          <w:rFonts w:ascii="Times New Roman" w:hAnsi="Times New Roman" w:cs="Times New Roman"/>
        </w:rPr>
        <w:t xml:space="preserve">, 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9765E9">
        <w:rPr>
          <w:rFonts w:ascii="Times New Roman" w:hAnsi="Times New Roman" w:cs="Times New Roman"/>
        </w:rPr>
        <w:t xml:space="preserve">работников,  </w:t>
      </w:r>
      <w:r w:rsidRPr="009765E9">
        <w:rPr>
          <w:rFonts w:ascii="Times New Roman" w:eastAsia="Calibri" w:hAnsi="Times New Roman" w:cs="Times New Roman"/>
          <w:bCs/>
        </w:rPr>
        <w:t xml:space="preserve">замещающих должности  </w:t>
      </w:r>
      <w:r w:rsidRPr="009765E9">
        <w:rPr>
          <w:rFonts w:ascii="Times New Roman" w:hAnsi="Times New Roman" w:cs="Times New Roman"/>
        </w:rPr>
        <w:t xml:space="preserve">по техническому обеспечению деятельности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</w:rPr>
      </w:pPr>
      <w:r w:rsidRPr="009765E9">
        <w:rPr>
          <w:rFonts w:ascii="Times New Roman" w:hAnsi="Times New Roman" w:cs="Times New Roman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Cs/>
        </w:rPr>
        <w:t xml:space="preserve">Сельского поселения  </w:t>
      </w:r>
      <w:r w:rsidRPr="009765E9">
        <w:rPr>
          <w:rFonts w:ascii="Times New Roman" w:hAnsi="Times New Roman" w:cs="Times New Roman"/>
          <w:color w:val="000000"/>
        </w:rPr>
        <w:t>«</w:t>
      </w:r>
      <w:proofErr w:type="spellStart"/>
      <w:r w:rsidRPr="009765E9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9765E9">
        <w:rPr>
          <w:rFonts w:ascii="Times New Roman" w:hAnsi="Times New Roman" w:cs="Times New Roman"/>
          <w:color w:val="000000"/>
        </w:rPr>
        <w:t xml:space="preserve"> сельсовет» 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right"/>
        <w:rPr>
          <w:rFonts w:ascii="Times New Roman" w:eastAsia="Calibri" w:hAnsi="Times New Roman" w:cs="Times New Roman"/>
        </w:rPr>
      </w:pPr>
      <w:r w:rsidRPr="009765E9">
        <w:rPr>
          <w:rFonts w:ascii="Times New Roman" w:hAnsi="Times New Roman" w:cs="Times New Roman"/>
          <w:color w:val="000000"/>
        </w:rPr>
        <w:t>Заполярного района Ненецкого автономного округа</w:t>
      </w:r>
    </w:p>
    <w:p w:rsidR="009765E9" w:rsidRPr="009765E9" w:rsidRDefault="009765E9" w:rsidP="009765E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73"/>
      <w:bookmarkEnd w:id="0"/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5E9">
        <w:rPr>
          <w:rFonts w:ascii="Times New Roman" w:eastAsia="Calibri" w:hAnsi="Times New Roman" w:cs="Times New Roman"/>
          <w:b/>
          <w:bCs/>
          <w:sz w:val="24"/>
          <w:szCs w:val="24"/>
        </w:rPr>
        <w:t>Предельные размеры возмещения расходов,</w:t>
      </w:r>
    </w:p>
    <w:p w:rsidR="009765E9" w:rsidRPr="009765E9" w:rsidRDefault="009765E9" w:rsidP="009765E9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5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связанных со служебными командировками муниципальных служащих </w:t>
      </w:r>
      <w:r w:rsidRPr="009765E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9765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9765E9">
        <w:rPr>
          <w:rFonts w:ascii="Times New Roman" w:hAnsi="Times New Roman" w:cs="Times New Roman"/>
          <w:b/>
          <w:sz w:val="24"/>
          <w:szCs w:val="24"/>
        </w:rPr>
        <w:t xml:space="preserve">,  работников,  </w:t>
      </w:r>
      <w:r w:rsidRPr="009765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замещающих должности  </w:t>
      </w:r>
      <w:r w:rsidRPr="009765E9">
        <w:rPr>
          <w:rFonts w:ascii="Times New Roman" w:hAnsi="Times New Roman" w:cs="Times New Roman"/>
          <w:b/>
          <w:sz w:val="24"/>
          <w:szCs w:val="24"/>
        </w:rPr>
        <w:t xml:space="preserve">по техническому обеспечению деятельности Администрации </w:t>
      </w:r>
      <w:r w:rsidRPr="009765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Сельского поселения  </w:t>
      </w:r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9765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1. Расходы по найму жилого помещения (кроме случаев, когда направленному в служебную командировку работнику предоставляется служебное помещение) возмещаются в размере фактических расходов, подтвержденных соответствующими документами, но не более стоимости однокомнатного (одноместного) номера. 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При отсутствии документов, подтверждающих эти расходы, - не более 100 рублей в сутки.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2. Расходы на выплату суточных возмещаются в следующих размерах: в городах федерального значения Москва и Санкт-Петербург - не более 600 рублей за каждый день нахождения в служебной командировке, в иных населенных пунктах на территории Российской Федерации - не более 400 рублей за каждый день нахождения в служебной командировке.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9765E9">
        <w:rPr>
          <w:rFonts w:ascii="Times New Roman" w:eastAsia="Calibri" w:hAnsi="Times New Roman" w:cs="Times New Roman"/>
          <w:sz w:val="24"/>
          <w:szCs w:val="24"/>
        </w:rPr>
        <w:t>Расходы по проезду работников к месту командирования и обратно к месту постоянной работы (включая оплату услуг по бронированию и оформлению проездных и перевозочных документов, предоставлению в поездах постельных принадлежностей, сервисный, комиссионный сборы, оплату стоимости провоза багажа к месту командирования и обратно на воздушном транспорте, подтвержденной перевозочными документами, содержащими информацию о стоимости провоза багажа, в случае оформления (приобретения) перевозочных документов (билетов</w:t>
      </w:r>
      <w:proofErr w:type="gramEnd"/>
      <w:r w:rsidRPr="009765E9">
        <w:rPr>
          <w:rFonts w:ascii="Times New Roman" w:eastAsia="Calibri" w:hAnsi="Times New Roman" w:cs="Times New Roman"/>
          <w:sz w:val="24"/>
          <w:szCs w:val="24"/>
        </w:rPr>
        <w:t>) по тарифу, не предусматривающему норму бесплатного провоза багажа), а также по проезду из одного населенного пункта в другой, если работник командирован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 такси) возмещаются: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а) при наличии проездных документов - в размере фактических расходов, но не выше стоимости проезда: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железнодорожным транспортом - в купейном вагоне скорого фирменного поезда;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воздушным транспортом - в салоне экономического класса;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автомобильным транспортом - в автотранспортном средстве общего пользования (кроме такси);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б) при отсутствии проездных документов, подтверждающих произведенные расходы, - в размере, не превышающем минимальную стоимость проезда: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железнодорожным транспортом - в плацкартном вагоне пассажирского поезда;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lastRenderedPageBreak/>
        <w:t>- воздушным транспортом - в салоне экономического класса;</w:t>
      </w:r>
    </w:p>
    <w:p w:rsidR="009765E9" w:rsidRPr="009765E9" w:rsidRDefault="009765E9" w:rsidP="009765E9">
      <w:pPr>
        <w:pStyle w:val="ab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65E9">
        <w:rPr>
          <w:rFonts w:ascii="Times New Roman" w:eastAsia="Calibri" w:hAnsi="Times New Roman" w:cs="Times New Roman"/>
          <w:sz w:val="24"/>
          <w:szCs w:val="24"/>
        </w:rPr>
        <w:t>- автомобильным транспортом - в автобусе общего типа.</w:t>
      </w:r>
    </w:p>
    <w:p w:rsidR="006527A0" w:rsidRDefault="006527A0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5AF4" w:rsidRPr="00025AF4" w:rsidRDefault="00025AF4" w:rsidP="00025AF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5AF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25AF4" w:rsidRPr="00025AF4" w:rsidRDefault="00025AF4" w:rsidP="00025AF4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5AF4" w:rsidRPr="00025AF4" w:rsidRDefault="00025AF4" w:rsidP="00025AF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5AF4">
        <w:rPr>
          <w:rFonts w:ascii="Times New Roman" w:hAnsi="Times New Roman" w:cs="Times New Roman"/>
          <w:b w:val="0"/>
          <w:sz w:val="24"/>
          <w:szCs w:val="24"/>
        </w:rPr>
        <w:t xml:space="preserve">от 10 октября 2022 года № 118 </w:t>
      </w:r>
    </w:p>
    <w:p w:rsidR="00025AF4" w:rsidRPr="00025AF4" w:rsidRDefault="00025AF4" w:rsidP="00025AF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25AF4" w:rsidRPr="00025AF4" w:rsidRDefault="00025AF4" w:rsidP="00025AF4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5AF4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025AF4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025AF4" w:rsidRPr="00025AF4" w:rsidRDefault="00025AF4" w:rsidP="00025AF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025AF4" w:rsidRPr="00025AF4" w:rsidRDefault="00025AF4" w:rsidP="00025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AF4">
        <w:rPr>
          <w:rFonts w:ascii="Times New Roman" w:hAnsi="Times New Roman"/>
          <w:b/>
          <w:sz w:val="24"/>
          <w:szCs w:val="24"/>
        </w:rPr>
        <w:t xml:space="preserve">Об утверждении отчета об исполнении местного бюджета </w:t>
      </w:r>
    </w:p>
    <w:p w:rsidR="00025AF4" w:rsidRPr="00025AF4" w:rsidRDefault="00025AF4" w:rsidP="00025A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AF4">
        <w:rPr>
          <w:rFonts w:ascii="Times New Roman" w:hAnsi="Times New Roman"/>
          <w:b/>
          <w:sz w:val="24"/>
          <w:szCs w:val="24"/>
        </w:rPr>
        <w:t>за девять месяцев 2022 года.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AF4" w:rsidRPr="00025AF4" w:rsidRDefault="00025AF4" w:rsidP="00025AF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025AF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5AF4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025AF4" w:rsidRPr="00025AF4" w:rsidRDefault="00025AF4" w:rsidP="00025AF4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1.Утвердить отчет  об исполнении местного бюджета за девять месяцев  2022 года  по доходам в сумме  29 503,4  тысяч рублей, по расходам в сумме 26 076,0 тысяч  рублей с превышением доходов над расходами (</w:t>
      </w:r>
      <w:proofErr w:type="spellStart"/>
      <w:r w:rsidRPr="00025AF4">
        <w:rPr>
          <w:rFonts w:ascii="Times New Roman" w:hAnsi="Times New Roman"/>
          <w:sz w:val="24"/>
          <w:szCs w:val="24"/>
        </w:rPr>
        <w:t>профицитом</w:t>
      </w:r>
      <w:proofErr w:type="spellEnd"/>
      <w:r w:rsidRPr="00025AF4">
        <w:rPr>
          <w:rFonts w:ascii="Times New Roman" w:hAnsi="Times New Roman"/>
          <w:sz w:val="24"/>
          <w:szCs w:val="24"/>
        </w:rPr>
        <w:t xml:space="preserve">)  местного бюджета в сумме  427,4  тысяч  рублей </w:t>
      </w:r>
      <w:r w:rsidRPr="00025AF4">
        <w:rPr>
          <w:rFonts w:ascii="Times New Roman" w:hAnsi="Times New Roman"/>
          <w:bCs/>
          <w:sz w:val="24"/>
          <w:szCs w:val="24"/>
        </w:rPr>
        <w:t xml:space="preserve"> со следующими показателями:</w:t>
      </w:r>
    </w:p>
    <w:p w:rsidR="00025AF4" w:rsidRPr="00025AF4" w:rsidRDefault="00025AF4" w:rsidP="00025AF4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1) доходы местного бюджета по кодам классификации доходов бюджетов за  девять месяцев  2022 года, согласно приложению № 1 к настоящему постановлению;</w:t>
      </w:r>
    </w:p>
    <w:p w:rsidR="00025AF4" w:rsidRPr="00025AF4" w:rsidRDefault="00025AF4" w:rsidP="00025AF4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2) расходы местного бюджета по ведомственной структуре расходов местного бюджета за  девять месяцев  2022 года, согласно приложению № 2 к настоящему постановлению;</w:t>
      </w:r>
    </w:p>
    <w:p w:rsidR="00025AF4" w:rsidRPr="00025AF4" w:rsidRDefault="00025AF4" w:rsidP="00025AF4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3) расходы местного бюджета по разделам и подразделам классификации расходов бюджетов за  девять месяцев  2022 года, согласно приложению № 3 к настоящему постановлению;</w:t>
      </w:r>
    </w:p>
    <w:p w:rsidR="00025AF4" w:rsidRPr="00025AF4" w:rsidRDefault="00025AF4" w:rsidP="00025AF4">
      <w:pPr>
        <w:spacing w:after="0" w:line="240" w:lineRule="auto"/>
        <w:ind w:left="62" w:firstLine="646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 xml:space="preserve">4) источники  финансирования дефицита местного бюджета по кодам </w:t>
      </w:r>
      <w:proofErr w:type="gramStart"/>
      <w:r w:rsidRPr="00025AF4">
        <w:rPr>
          <w:rFonts w:ascii="Times New Roman" w:hAnsi="Times New Roman"/>
          <w:sz w:val="24"/>
          <w:szCs w:val="24"/>
        </w:rPr>
        <w:t>классифик</w:t>
      </w:r>
      <w:r w:rsidRPr="00025AF4">
        <w:rPr>
          <w:rFonts w:ascii="Times New Roman" w:hAnsi="Times New Roman"/>
          <w:sz w:val="24"/>
          <w:szCs w:val="24"/>
        </w:rPr>
        <w:t>а</w:t>
      </w:r>
      <w:r w:rsidRPr="00025AF4">
        <w:rPr>
          <w:rFonts w:ascii="Times New Roman" w:hAnsi="Times New Roman"/>
          <w:sz w:val="24"/>
          <w:szCs w:val="24"/>
        </w:rPr>
        <w:t>ции  источников  финансирования дефицитов бюджетов</w:t>
      </w:r>
      <w:proofErr w:type="gramEnd"/>
      <w:r w:rsidRPr="00025AF4">
        <w:rPr>
          <w:rFonts w:ascii="Times New Roman" w:hAnsi="Times New Roman"/>
          <w:sz w:val="24"/>
          <w:szCs w:val="24"/>
        </w:rPr>
        <w:t xml:space="preserve"> за  девять месяцев  2022   года, согласно приложению № 4 к настоящему постановлению.</w:t>
      </w:r>
    </w:p>
    <w:p w:rsidR="00025AF4" w:rsidRPr="00025AF4" w:rsidRDefault="00025AF4" w:rsidP="00025AF4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025AF4" w:rsidRPr="00025AF4" w:rsidRDefault="00025AF4" w:rsidP="00025AF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 xml:space="preserve">Глава 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Сельского поселения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«</w:t>
      </w:r>
      <w:proofErr w:type="spellStart"/>
      <w:r w:rsidRPr="00025AF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5AF4">
        <w:rPr>
          <w:rFonts w:ascii="Times New Roman" w:hAnsi="Times New Roman"/>
          <w:sz w:val="24"/>
          <w:szCs w:val="24"/>
        </w:rPr>
        <w:t xml:space="preserve"> сельсовет»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>Заполярного района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AF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25AF4">
        <w:rPr>
          <w:rFonts w:ascii="Times New Roman" w:hAnsi="Times New Roman"/>
          <w:sz w:val="24"/>
          <w:szCs w:val="24"/>
        </w:rPr>
        <w:t xml:space="preserve">   Д.С.Якубович</w:t>
      </w: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58" w:type="dxa"/>
        <w:tblInd w:w="95" w:type="dxa"/>
        <w:tblLayout w:type="fixed"/>
        <w:tblLook w:val="04A0"/>
      </w:tblPr>
      <w:tblGrid>
        <w:gridCol w:w="2521"/>
        <w:gridCol w:w="5850"/>
        <w:gridCol w:w="998"/>
        <w:gridCol w:w="1089"/>
      </w:tblGrid>
      <w:tr w:rsidR="00025AF4" w:rsidRPr="00025AF4" w:rsidTr="00025AF4">
        <w:trPr>
          <w:trHeight w:val="380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10 октября 2022 года № 118        </w:t>
            </w:r>
          </w:p>
        </w:tc>
      </w:tr>
      <w:tr w:rsidR="00025AF4" w:rsidRPr="00025AF4" w:rsidTr="00025AF4">
        <w:trPr>
          <w:trHeight w:val="117"/>
        </w:trPr>
        <w:tc>
          <w:tcPr>
            <w:tcW w:w="10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 за девять месяцев  2022 года по кодам классификации доходов бюджетов</w:t>
            </w:r>
          </w:p>
        </w:tc>
      </w:tr>
      <w:tr w:rsidR="00025AF4" w:rsidRPr="00025AF4" w:rsidTr="00025AF4">
        <w:trPr>
          <w:trHeight w:val="8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025AF4" w:rsidRPr="00025AF4" w:rsidTr="00025AF4">
        <w:trPr>
          <w:trHeight w:val="230"/>
        </w:trPr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025AF4" w:rsidRPr="00025AF4" w:rsidTr="00025AF4">
        <w:trPr>
          <w:trHeight w:val="230"/>
        </w:trPr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2919,9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827,7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827,7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821,2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515,0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598,7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</w:tc>
      </w:tr>
      <w:tr w:rsidR="00025AF4" w:rsidRPr="00025AF4" w:rsidTr="00025AF4">
        <w:trPr>
          <w:trHeight w:val="694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100 1 03 02231 01 0000 110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270,7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</w:tr>
      <w:tr w:rsidR="00025AF4" w:rsidRPr="00025AF4" w:rsidTr="00025AF4">
        <w:trPr>
          <w:trHeight w:val="794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100 1 03 02241 01 0000 110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025AF4" w:rsidRPr="00025AF4" w:rsidTr="00025AF4">
        <w:trPr>
          <w:trHeight w:val="782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100 1 03 02251 01 0000 110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289,9</w:t>
            </w:r>
          </w:p>
        </w:tc>
      </w:tr>
      <w:tr w:rsidR="00025AF4" w:rsidRPr="00025AF4" w:rsidTr="00025AF4">
        <w:trPr>
          <w:trHeight w:val="694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100 1 03 02261 01 0000 110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-33,9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-28,1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322,6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322,6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</w:tc>
      </w:tr>
      <w:tr w:rsidR="00025AF4" w:rsidRPr="00025AF4" w:rsidTr="00025AF4">
        <w:trPr>
          <w:trHeight w:val="58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</w:tr>
      <w:tr w:rsidR="00025AF4" w:rsidRPr="00025AF4" w:rsidTr="00025AF4">
        <w:trPr>
          <w:trHeight w:val="10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90,1</w:t>
            </w:r>
          </w:p>
        </w:tc>
      </w:tr>
      <w:tr w:rsidR="00025AF4" w:rsidRPr="00025AF4" w:rsidTr="00025AF4">
        <w:trPr>
          <w:trHeight w:val="10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83,1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025AF4" w:rsidRPr="00025AF4" w:rsidTr="00025AF4">
        <w:trPr>
          <w:trHeight w:val="22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000 1 09 04053 00 0000 110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-1,0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182 1 09 04053 10 2100 110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25AF4" w:rsidRPr="00025AF4" w:rsidTr="00025AF4">
        <w:trPr>
          <w:trHeight w:val="13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5,2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5AF4" w:rsidRPr="00025AF4" w:rsidRDefault="00025AF4" w:rsidP="00025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956,8</w:t>
            </w:r>
          </w:p>
        </w:tc>
      </w:tr>
      <w:tr w:rsidR="00025AF4" w:rsidRPr="00025AF4" w:rsidTr="00025AF4">
        <w:trPr>
          <w:trHeight w:val="59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462,5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386,7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386,7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000 1 11 07000 00 0000 120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660 1 11 07015 10 0000 120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000 1 11 09000 00 0000 120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509,9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409,1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189,5</w:t>
            </w:r>
          </w:p>
        </w:tc>
      </w:tr>
      <w:tr w:rsidR="00025AF4" w:rsidRPr="00025AF4" w:rsidTr="00025AF4">
        <w:trPr>
          <w:trHeight w:val="15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000 1 13 02000 00 0000 130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</w:tr>
      <w:tr w:rsidR="00025AF4" w:rsidRPr="00025AF4" w:rsidTr="00025AF4">
        <w:trPr>
          <w:trHeight w:val="263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</w:tr>
      <w:tr w:rsidR="00025AF4" w:rsidRPr="00025AF4" w:rsidTr="00025AF4">
        <w:trPr>
          <w:trHeight w:val="21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660 1 14 02053 10 0000 410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14,0</w:t>
            </w:r>
          </w:p>
        </w:tc>
      </w:tr>
      <w:tr w:rsidR="00025AF4" w:rsidRPr="00025AF4" w:rsidTr="00025AF4">
        <w:trPr>
          <w:trHeight w:val="59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660 1 14 02053 10 0000 410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025AF4" w:rsidRPr="00025AF4" w:rsidTr="00025AF4">
        <w:trPr>
          <w:trHeight w:val="10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56574,6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26583,5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56574,6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26583,5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5466,9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4100,0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2282,6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1711,8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2282,6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1711,8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3184,3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2388,2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3184,3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2388,2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145,4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217,7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</w:tr>
      <w:tr w:rsidR="00025AF4" w:rsidRPr="00025AF4" w:rsidTr="00025AF4">
        <w:trPr>
          <w:trHeight w:val="58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50 701,7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22 338,1</w:t>
            </w:r>
          </w:p>
        </w:tc>
      </w:tr>
      <w:tr w:rsidR="00025AF4" w:rsidRPr="00025AF4" w:rsidTr="00025AF4">
        <w:trPr>
          <w:trHeight w:val="39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3 730,8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2 967,0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3 730,8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2 967,0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246,8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"Безопасность на территории муниципального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"Заполярный район" на 2019-2030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2 430,3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2 307,6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35,0</w:t>
            </w:r>
          </w:p>
        </w:tc>
      </w:tr>
      <w:tr w:rsidR="00025AF4" w:rsidRPr="00025AF4" w:rsidTr="00025AF4">
        <w:trPr>
          <w:trHeight w:val="39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2 272,70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2 272,60</w:t>
            </w:r>
          </w:p>
        </w:tc>
      </w:tr>
      <w:tr w:rsidR="00025AF4" w:rsidRPr="00025AF4" w:rsidTr="00025AF4">
        <w:trPr>
          <w:trHeight w:val="27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122,60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1019,1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584,9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452,1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301,4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283,5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46 970,9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19 371,1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46 970,9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19 371,1</w:t>
            </w:r>
          </w:p>
        </w:tc>
      </w:tr>
      <w:tr w:rsidR="00025AF4" w:rsidRPr="00025AF4" w:rsidTr="00025AF4">
        <w:trPr>
          <w:trHeight w:val="39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8 149,40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6 096,00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"Текущий ремонт системы отопления здания Администрации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НАО, расположенного по адресу: ул. </w:t>
            </w:r>
            <w:proofErr w:type="gram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Школьная</w:t>
            </w:r>
            <w:proofErr w:type="gram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д. 9 в с.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9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6 858,1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3 988,4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2 913,1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1 358,4</w:t>
            </w:r>
          </w:p>
        </w:tc>
      </w:tr>
      <w:tr w:rsidR="00025AF4" w:rsidRPr="00025AF4" w:rsidTr="00025AF4">
        <w:trPr>
          <w:trHeight w:val="1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3 945,0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11 152,8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1 225,2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9 927,6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9 927,6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39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9 499,5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6 445,2</w:t>
            </w:r>
          </w:p>
        </w:tc>
      </w:tr>
      <w:tr w:rsidR="00025AF4" w:rsidRPr="00025AF4" w:rsidTr="00025AF4">
        <w:trPr>
          <w:trHeight w:val="397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6 179,6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4 994,6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303,1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1 351,1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687,5</w:t>
            </w:r>
          </w:p>
        </w:tc>
      </w:tr>
      <w:tr w:rsidR="00025AF4" w:rsidRPr="00025AF4" w:rsidTr="00025AF4">
        <w:trPr>
          <w:trHeight w:val="51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обетный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513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  "Устройство деревянных мостовых в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ельвиска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(по ул.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Пустозерская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ул. Молодежная)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НАО".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1 205,7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496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9 837,2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9 837,2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Текущий ремонт муниципального жилищного фонда в д. 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1 260,1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298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</w:tr>
      <w:tr w:rsidR="00025AF4" w:rsidRPr="00025AF4" w:rsidTr="00025AF4">
        <w:trPr>
          <w:trHeight w:val="700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660 2 02 49999 10 0000 150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181,9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80,4</w:t>
            </w:r>
          </w:p>
        </w:tc>
      </w:tr>
      <w:tr w:rsidR="00025AF4" w:rsidRPr="00025AF4" w:rsidTr="00025AF4">
        <w:trPr>
          <w:trHeight w:val="99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60 461,2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29 503,4</w:t>
            </w:r>
          </w:p>
        </w:tc>
      </w:tr>
    </w:tbl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54" w:type="dxa"/>
        <w:tblInd w:w="95" w:type="dxa"/>
        <w:tblLook w:val="04A0"/>
      </w:tblPr>
      <w:tblGrid>
        <w:gridCol w:w="4261"/>
        <w:gridCol w:w="529"/>
        <w:gridCol w:w="474"/>
        <w:gridCol w:w="474"/>
        <w:gridCol w:w="1437"/>
        <w:gridCol w:w="697"/>
        <w:gridCol w:w="1297"/>
        <w:gridCol w:w="1285"/>
      </w:tblGrid>
      <w:tr w:rsidR="00025AF4" w:rsidRPr="00025AF4" w:rsidTr="00025AF4">
        <w:trPr>
          <w:trHeight w:val="191"/>
        </w:trPr>
        <w:tc>
          <w:tcPr>
            <w:tcW w:w="10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10 октября 2022 года № 118     </w:t>
            </w:r>
          </w:p>
        </w:tc>
      </w:tr>
      <w:tr w:rsidR="00025AF4" w:rsidRPr="00025AF4" w:rsidTr="00025AF4">
        <w:trPr>
          <w:trHeight w:val="182"/>
        </w:trPr>
        <w:tc>
          <w:tcPr>
            <w:tcW w:w="10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ведомственной структуре расходов местного бюджета                                                   за  девять месяцев  2022 года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025AF4" w:rsidRPr="00025AF4" w:rsidTr="00025AF4">
        <w:trPr>
          <w:trHeight w:val="277"/>
        </w:trPr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Уточненный план                                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Исполнение  </w:t>
            </w:r>
          </w:p>
        </w:tc>
      </w:tr>
      <w:tr w:rsidR="00025AF4" w:rsidRPr="00025AF4" w:rsidTr="00025AF4">
        <w:trPr>
          <w:trHeight w:val="5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61 627,1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29 076,0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61 627,1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29 076,0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20 079,9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13 356,4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3 688,2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2 968,5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3 388,2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2 668,5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3 388,2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2 668,5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3 388,2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2 668,5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12 855,9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8 392,3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860,0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части затрат  органов местного самоуправления поселений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1 949,0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10 906,9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7 532,3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10 906,9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7 532,3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9 207,6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6 529,7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1 680,1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990,4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396,2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396,2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396,2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396,2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2 873,6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1 536,4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498,4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964,1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498,4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56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667,5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20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муниципального имущества, разработка проектной документации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"Текущий ремонт системы отопления здания Администрации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НАО, расположенного по адресу: ул.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, д. 9 в с.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10,3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1 193,7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829,7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57,8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57,8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277,5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277,5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275,2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275,2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2 354,3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</w:t>
            </w:r>
          </w:p>
        </w:tc>
      </w:tr>
      <w:tr w:rsidR="00025AF4" w:rsidRPr="00025AF4" w:rsidTr="00025AF4">
        <w:trPr>
          <w:trHeight w:val="30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2 315,6</w:t>
            </w:r>
          </w:p>
        </w:tc>
      </w:tr>
      <w:tr w:rsidR="00025AF4" w:rsidRPr="00025AF4" w:rsidTr="00025AF4">
        <w:trPr>
          <w:trHeight w:val="30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2 315,6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2 317,7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2 315,6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025AF4" w:rsidRPr="00025AF4" w:rsidTr="00025AF4">
        <w:trPr>
          <w:trHeight w:val="21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2 272,7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2 272,6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2 272,7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2 272,6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12 536,7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1 154,5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12 209,9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11 152,8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11 152,8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1 225,2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1 225,2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9 927,6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9 927,6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1 057,1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1 057,1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21 601,1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8 963,1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9 935,2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1 358,1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9 837,2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9 837,2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21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8 577,1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1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муниципального жилищного фонда в д.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1 260,1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7 380,6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5 659,9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6 179,6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4 994,6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4 994,6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4 994,6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6 179,6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4 994,6</w:t>
            </w:r>
          </w:p>
        </w:tc>
      </w:tr>
      <w:tr w:rsidR="00025AF4" w:rsidRPr="00025AF4" w:rsidTr="00025AF4">
        <w:trPr>
          <w:trHeight w:val="21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1 201,0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665,3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381,8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181,9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301,4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Субсидии местным бюджетам на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36.0.00.79850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123,8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36.0.00.79850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36.0.00.79850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Расходы районного бюджета на мероприятия,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государственных программ в части  участия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Обустройство контейнерных площадок для установки контейнеров ТКО и приобретение контейнеров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36.0.00.S9850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36.0.G2 52690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283,5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36.0.G2 52690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283,5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6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3 970,8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1 945,1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990,6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2 859,9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990,6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303,1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1 351,1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687,5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1 351,1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687,5</w:t>
            </w:r>
          </w:p>
        </w:tc>
      </w:tr>
      <w:tr w:rsidR="00025AF4" w:rsidRPr="00025AF4" w:rsidTr="00025AF4">
        <w:trPr>
          <w:trHeight w:val="217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 "Устройство деревянных мостовых в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(по ул.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Пустозерская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и ул. Молодежная)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1 205,7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1 205,7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1 110,9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954,5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1 068,3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911,9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1 068,3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911,9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25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271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325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596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4 149,0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20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15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108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3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8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025AF4" w:rsidRPr="00025AF4" w:rsidTr="00025AF4">
        <w:trPr>
          <w:trHeight w:val="54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025AF4" w:rsidRPr="00025AF4" w:rsidTr="00025AF4">
        <w:trPr>
          <w:trHeight w:val="102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025AF4" w:rsidRPr="00025AF4" w:rsidTr="00025AF4">
        <w:trPr>
          <w:trHeight w:val="163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</w:tbl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36" w:type="dxa"/>
        <w:tblInd w:w="95" w:type="dxa"/>
        <w:tblLook w:val="04A0"/>
      </w:tblPr>
      <w:tblGrid>
        <w:gridCol w:w="5822"/>
        <w:gridCol w:w="633"/>
        <w:gridCol w:w="633"/>
        <w:gridCol w:w="1730"/>
        <w:gridCol w:w="1718"/>
      </w:tblGrid>
      <w:tr w:rsidR="00025AF4" w:rsidRPr="00025AF4" w:rsidTr="00025AF4">
        <w:trPr>
          <w:trHeight w:val="820"/>
        </w:trPr>
        <w:tc>
          <w:tcPr>
            <w:tcW w:w="10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10 октября 2022 года № 118     </w:t>
            </w:r>
          </w:p>
        </w:tc>
      </w:tr>
      <w:tr w:rsidR="00025AF4" w:rsidRPr="00025AF4" w:rsidTr="00025AF4">
        <w:trPr>
          <w:trHeight w:val="641"/>
        </w:trPr>
        <w:tc>
          <w:tcPr>
            <w:tcW w:w="10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разделам и подразделам классификации расходов бюджетов за  девять месяцев  2022 года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025AF4" w:rsidRPr="00025AF4" w:rsidTr="00025AF4">
        <w:trPr>
          <w:trHeight w:val="1187"/>
        </w:trPr>
        <w:tc>
          <w:tcPr>
            <w:tcW w:w="5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61 627,1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29 076,0</w:t>
            </w:r>
          </w:p>
        </w:tc>
      </w:tr>
      <w:tr w:rsidR="00025AF4" w:rsidRPr="00025AF4" w:rsidTr="00025AF4">
        <w:trPr>
          <w:trHeight w:val="437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Сельское поселение  "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61 627,1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29 076,0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20 079,9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13 356,4</w:t>
            </w:r>
          </w:p>
        </w:tc>
      </w:tr>
      <w:tr w:rsidR="00025AF4" w:rsidRPr="00025AF4" w:rsidTr="00025AF4">
        <w:trPr>
          <w:trHeight w:val="378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3 688,2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2 968,5</w:t>
            </w:r>
          </w:p>
        </w:tc>
      </w:tr>
      <w:tr w:rsidR="00025AF4" w:rsidRPr="00025AF4" w:rsidTr="00025AF4">
        <w:trPr>
          <w:trHeight w:val="43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025AF4" w:rsidRPr="00025AF4" w:rsidTr="00025AF4">
        <w:trPr>
          <w:trHeight w:val="69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12 855,9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8 392,3</w:t>
            </w:r>
          </w:p>
        </w:tc>
      </w:tr>
      <w:tr w:rsidR="00025AF4" w:rsidRPr="00025AF4" w:rsidTr="00025AF4">
        <w:trPr>
          <w:trHeight w:val="39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396,2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2 873,6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1 536,4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</w:tr>
      <w:tr w:rsidR="00025AF4" w:rsidRPr="00025AF4" w:rsidTr="00025AF4">
        <w:trPr>
          <w:trHeight w:val="437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2 530,8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2 354,3</w:t>
            </w:r>
          </w:p>
        </w:tc>
      </w:tr>
      <w:tr w:rsidR="00025AF4" w:rsidRPr="00025AF4" w:rsidTr="00025AF4">
        <w:trPr>
          <w:trHeight w:val="45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213,1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</w:tr>
      <w:tr w:rsidR="00025AF4" w:rsidRPr="00025AF4" w:rsidTr="00025AF4">
        <w:trPr>
          <w:trHeight w:val="505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2 317,7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2 315,6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12 536,7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1 154,5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246,8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12 209,9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025AF4" w:rsidRPr="00025AF4" w:rsidTr="00025AF4">
        <w:trPr>
          <w:trHeight w:val="336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21 601,1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8 963,1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9 935,2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1 358,1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7 380,6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5 659,9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3 970,8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1 945,1</w:t>
            </w:r>
          </w:p>
        </w:tc>
      </w:tr>
      <w:tr w:rsidR="00025AF4" w:rsidRPr="00025AF4" w:rsidTr="00025AF4">
        <w:trPr>
          <w:trHeight w:val="20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314,5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4 149,0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3 945,0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2 630,0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11,2</w:t>
            </w:r>
          </w:p>
        </w:tc>
      </w:tr>
      <w:tr w:rsidR="00025AF4" w:rsidRPr="00025AF4" w:rsidTr="00025AF4">
        <w:trPr>
          <w:trHeight w:val="23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</w:tbl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76" w:type="dxa"/>
        <w:tblInd w:w="95" w:type="dxa"/>
        <w:tblLook w:val="04A0"/>
      </w:tblPr>
      <w:tblGrid>
        <w:gridCol w:w="5061"/>
        <w:gridCol w:w="2626"/>
        <w:gridCol w:w="1376"/>
        <w:gridCol w:w="1313"/>
      </w:tblGrid>
      <w:tr w:rsidR="00025AF4" w:rsidRPr="00025AF4" w:rsidTr="00025AF4">
        <w:trPr>
          <w:trHeight w:val="833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10 октября 2022 года № 118     </w:t>
            </w:r>
          </w:p>
        </w:tc>
      </w:tr>
      <w:tr w:rsidR="00025AF4" w:rsidRPr="00025AF4" w:rsidTr="00025AF4">
        <w:trPr>
          <w:trHeight w:val="599"/>
        </w:trPr>
        <w:tc>
          <w:tcPr>
            <w:tcW w:w="10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 источников  финансирования дефицитов бюджетов</w:t>
            </w:r>
            <w:proofErr w:type="gram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 девять месяцев  2022   года</w:t>
            </w:r>
          </w:p>
        </w:tc>
      </w:tr>
      <w:tr w:rsidR="00025AF4" w:rsidRPr="00025AF4" w:rsidTr="00025AF4">
        <w:trPr>
          <w:trHeight w:val="22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AF4" w:rsidRPr="00025AF4" w:rsidTr="00025AF4">
        <w:trPr>
          <w:trHeight w:val="586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025AF4" w:rsidRPr="00025AF4" w:rsidTr="00025AF4">
        <w:trPr>
          <w:trHeight w:val="521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-1 165,9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427,4</w:t>
            </w:r>
          </w:p>
        </w:tc>
      </w:tr>
      <w:tr w:rsidR="00025AF4" w:rsidRPr="00025AF4" w:rsidTr="00025AF4">
        <w:trPr>
          <w:trHeight w:val="430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-1 165,9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427,4</w:t>
            </w:r>
          </w:p>
        </w:tc>
      </w:tr>
      <w:tr w:rsidR="00025AF4" w:rsidRPr="00025AF4" w:rsidTr="00025AF4">
        <w:trPr>
          <w:trHeight w:val="273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60 461,2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29 503,4</w:t>
            </w:r>
          </w:p>
        </w:tc>
      </w:tr>
      <w:tr w:rsidR="00025AF4" w:rsidRPr="00025AF4" w:rsidTr="00025AF4">
        <w:trPr>
          <w:trHeight w:val="351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60 461,2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29 503,4</w:t>
            </w:r>
          </w:p>
        </w:tc>
      </w:tr>
      <w:tr w:rsidR="00025AF4" w:rsidRPr="00025AF4" w:rsidTr="00025AF4">
        <w:trPr>
          <w:trHeight w:val="430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60 461,2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29 503,4</w:t>
            </w:r>
          </w:p>
        </w:tc>
      </w:tr>
      <w:tr w:rsidR="00025AF4" w:rsidRPr="00025AF4" w:rsidTr="00025AF4">
        <w:trPr>
          <w:trHeight w:val="430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60 461,2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29 503,4</w:t>
            </w:r>
          </w:p>
        </w:tc>
      </w:tr>
      <w:tr w:rsidR="00025AF4" w:rsidRPr="00025AF4" w:rsidTr="00025AF4">
        <w:trPr>
          <w:trHeight w:val="299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-61 627,1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-29 076,0</w:t>
            </w:r>
          </w:p>
        </w:tc>
      </w:tr>
      <w:tr w:rsidR="00025AF4" w:rsidRPr="00025AF4" w:rsidTr="00025AF4">
        <w:trPr>
          <w:trHeight w:val="325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025AF4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-61 627,1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-29 076,0</w:t>
            </w:r>
          </w:p>
        </w:tc>
      </w:tr>
      <w:tr w:rsidR="00025AF4" w:rsidRPr="00025AF4" w:rsidTr="00025AF4">
        <w:trPr>
          <w:trHeight w:val="430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-61 627,1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-29 076,0</w:t>
            </w:r>
          </w:p>
        </w:tc>
      </w:tr>
      <w:tr w:rsidR="00025AF4" w:rsidRPr="00025AF4" w:rsidTr="00025AF4">
        <w:trPr>
          <w:trHeight w:val="443"/>
        </w:trPr>
        <w:tc>
          <w:tcPr>
            <w:tcW w:w="5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-61 627,1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AF4" w:rsidRPr="00025AF4" w:rsidRDefault="00025AF4" w:rsidP="00025A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25AF4">
              <w:rPr>
                <w:rFonts w:ascii="Times New Roman" w:hAnsi="Times New Roman" w:cs="Times New Roman"/>
                <w:sz w:val="20"/>
                <w:szCs w:val="20"/>
              </w:rPr>
              <w:t>-29 076,0</w:t>
            </w:r>
          </w:p>
        </w:tc>
      </w:tr>
    </w:tbl>
    <w:p w:rsidR="00025AF4" w:rsidRPr="00025AF4" w:rsidRDefault="00025AF4" w:rsidP="00025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27A0" w:rsidRDefault="006527A0" w:rsidP="004B7ABA">
      <w:pPr>
        <w:jc w:val="center"/>
        <w:rPr>
          <w:rFonts w:ascii="Times New Roman" w:eastAsia="Times New Roman" w:hAnsi="Times New Roman" w:cs="Times New Roman"/>
        </w:rPr>
      </w:pPr>
    </w:p>
    <w:p w:rsidR="006527A0" w:rsidRPr="00DE754A" w:rsidRDefault="006527A0" w:rsidP="004B7ABA">
      <w:pPr>
        <w:jc w:val="center"/>
        <w:rPr>
          <w:rFonts w:ascii="Times New Roman" w:eastAsia="Times New Roman" w:hAnsi="Times New Roman" w:cs="Times New Roman"/>
        </w:rPr>
      </w:pPr>
    </w:p>
    <w:p w:rsidR="002174C4" w:rsidRPr="000E716E" w:rsidRDefault="002174C4" w:rsidP="002174C4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E716E">
        <w:rPr>
          <w:rFonts w:ascii="Times New Roman" w:hAnsi="Times New Roman"/>
          <w:b/>
          <w:sz w:val="24"/>
          <w:szCs w:val="24"/>
        </w:rPr>
        <w:t>СОВЕТ ДЕПУТАТОВ СЕЛЬСКОГО ПОСЕЛЕНИЯ  «ТЕЛЬВИСОЧНЫЙ  СЕЛЬСОВЕТ» ЗАПОЛЯРНОГО РАЙОНА НЕНЕЦКОГО АВТОНОМНОГО ОКРУГА</w:t>
      </w:r>
    </w:p>
    <w:p w:rsidR="002174C4" w:rsidRPr="000E716E" w:rsidRDefault="002174C4" w:rsidP="002174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</w:t>
      </w:r>
      <w:r w:rsidRPr="000E716E">
        <w:rPr>
          <w:rFonts w:ascii="Times New Roman" w:hAnsi="Times New Roman"/>
          <w:b/>
          <w:sz w:val="24"/>
          <w:szCs w:val="24"/>
        </w:rPr>
        <w:t xml:space="preserve"> заседание 28-го созыва</w:t>
      </w:r>
    </w:p>
    <w:p w:rsidR="002174C4" w:rsidRPr="000E716E" w:rsidRDefault="002174C4" w:rsidP="002174C4">
      <w:pPr>
        <w:jc w:val="center"/>
        <w:rPr>
          <w:rFonts w:ascii="Times New Roman" w:hAnsi="Times New Roman"/>
          <w:b/>
          <w:sz w:val="24"/>
          <w:szCs w:val="24"/>
        </w:rPr>
      </w:pPr>
      <w:r w:rsidRPr="000E716E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2174C4" w:rsidRPr="002174C4" w:rsidRDefault="002174C4" w:rsidP="002174C4">
      <w:pPr>
        <w:jc w:val="center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25</w:t>
      </w:r>
      <w:r w:rsidRPr="00030DF2">
        <w:rPr>
          <w:rFonts w:ascii="Times New Roman" w:hAnsi="Times New Roman"/>
          <w:sz w:val="24"/>
          <w:szCs w:val="24"/>
        </w:rPr>
        <w:t xml:space="preserve"> октября</w:t>
      </w:r>
      <w:r>
        <w:rPr>
          <w:rFonts w:ascii="Times New Roman" w:hAnsi="Times New Roman"/>
          <w:sz w:val="24"/>
          <w:szCs w:val="24"/>
        </w:rPr>
        <w:t xml:space="preserve"> 2022 года № 1</w:t>
      </w:r>
    </w:p>
    <w:p w:rsidR="002174C4" w:rsidRPr="00030DF2" w:rsidRDefault="002174C4" w:rsidP="002174C4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030DF2">
        <w:rPr>
          <w:rFonts w:ascii="Times New Roman" w:hAnsi="Times New Roman"/>
          <w:b/>
          <w:sz w:val="24"/>
          <w:szCs w:val="24"/>
        </w:rPr>
        <w:t>О внесении изменения в П</w:t>
      </w:r>
      <w:r w:rsidRPr="00030DF2">
        <w:rPr>
          <w:rFonts w:ascii="Times New Roman" w:hAnsi="Times New Roman"/>
          <w:b/>
          <w:bCs/>
          <w:sz w:val="24"/>
          <w:szCs w:val="24"/>
        </w:rPr>
        <w:t>равила благоустройства территории Сельского поселения «</w:t>
      </w:r>
      <w:proofErr w:type="spellStart"/>
      <w:r w:rsidRPr="00030DF2"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030DF2">
        <w:rPr>
          <w:rFonts w:ascii="Times New Roman" w:hAnsi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:rsidR="002174C4" w:rsidRPr="00030DF2" w:rsidRDefault="002174C4" w:rsidP="002174C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2174C4" w:rsidRPr="00030DF2" w:rsidRDefault="002174C4" w:rsidP="002174C4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2174C4" w:rsidRPr="00030DF2" w:rsidRDefault="002174C4" w:rsidP="00217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bCs/>
          <w:sz w:val="24"/>
          <w:szCs w:val="24"/>
        </w:rPr>
        <w:t xml:space="preserve">В соответствии с частью 3 статьи 14, статьей 45.1 </w:t>
      </w:r>
      <w:r w:rsidRPr="00030DF2">
        <w:rPr>
          <w:rFonts w:ascii="Times New Roman" w:hAnsi="Times New Roman"/>
          <w:sz w:val="24"/>
          <w:szCs w:val="24"/>
        </w:rPr>
        <w:t>Федерального закон от 06.10.2003 N 131-ФЗ "Об общих принципах организации местного самоуправления в Российской Федерации", статьей 81.1. Устава Сельского поселения «</w:t>
      </w:r>
      <w:proofErr w:type="spellStart"/>
      <w:r w:rsidRPr="00030DF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30DF2">
        <w:rPr>
          <w:rFonts w:ascii="Times New Roman" w:hAnsi="Times New Roman"/>
          <w:sz w:val="24"/>
          <w:szCs w:val="24"/>
        </w:rPr>
        <w:t xml:space="preserve">  сельсовет» Заполярного района Ненецкого автономного округа, Совет депутатов Сельского поселения «</w:t>
      </w:r>
      <w:proofErr w:type="spellStart"/>
      <w:r w:rsidRPr="00030DF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30DF2">
        <w:rPr>
          <w:rFonts w:ascii="Times New Roman" w:hAnsi="Times New Roman"/>
          <w:sz w:val="24"/>
          <w:szCs w:val="24"/>
        </w:rPr>
        <w:t xml:space="preserve"> сельсовет» ЗР НАО РЕШИЛ:</w:t>
      </w:r>
    </w:p>
    <w:p w:rsidR="002174C4" w:rsidRPr="00030DF2" w:rsidRDefault="002174C4" w:rsidP="00217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4C4" w:rsidRPr="00030DF2" w:rsidRDefault="002174C4" w:rsidP="002174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30DF2">
        <w:rPr>
          <w:rFonts w:ascii="Times New Roman" w:hAnsi="Times New Roman" w:cs="Times New Roman"/>
          <w:sz w:val="24"/>
          <w:szCs w:val="24"/>
        </w:rPr>
        <w:t xml:space="preserve">         1.  Внести следующее изменение в Правила благоустройства территории Сельского поселения «</w:t>
      </w:r>
      <w:proofErr w:type="spellStart"/>
      <w:r w:rsidRPr="00030DF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30DF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утвержденные решением Совета депутатов </w:t>
      </w:r>
      <w:r w:rsidRPr="00030DF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030DF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30DF2">
        <w:rPr>
          <w:rFonts w:ascii="Times New Roman" w:hAnsi="Times New Roman"/>
          <w:sz w:val="24"/>
          <w:szCs w:val="24"/>
        </w:rPr>
        <w:t xml:space="preserve">  сельсовет» Заполярного района Ненецкого автономного округа от 28.03.2022 № 9</w:t>
      </w:r>
      <w:r w:rsidRPr="00030DF2">
        <w:rPr>
          <w:rFonts w:ascii="Times New Roman" w:hAnsi="Times New Roman" w:cs="Times New Roman"/>
          <w:sz w:val="24"/>
          <w:szCs w:val="24"/>
        </w:rPr>
        <w:t>:</w:t>
      </w:r>
    </w:p>
    <w:p w:rsidR="002174C4" w:rsidRPr="00030DF2" w:rsidRDefault="002174C4" w:rsidP="002174C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sz w:val="24"/>
          <w:szCs w:val="24"/>
        </w:rPr>
        <w:tab/>
        <w:t>1.1. подпункт 3.8.4. пункта 3.8. изложить в следующей редакции:</w:t>
      </w:r>
    </w:p>
    <w:p w:rsidR="002174C4" w:rsidRPr="00030DF2" w:rsidRDefault="002174C4" w:rsidP="00217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sz w:val="24"/>
          <w:szCs w:val="24"/>
        </w:rPr>
        <w:lastRenderedPageBreak/>
        <w:t>«3.8.4. Для определения количества мусоросборников (контейнеров и бункеров), устанавливаемых на контейнерных площадках для накопления ТКО, хозяйствующим субъектам необходимо исходить из численности населения, пользующегося мусоросборниками, и нормативов накопления ТКО.</w:t>
      </w:r>
    </w:p>
    <w:p w:rsidR="002174C4" w:rsidRPr="00030DF2" w:rsidRDefault="002174C4" w:rsidP="002174C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sz w:val="24"/>
          <w:szCs w:val="24"/>
        </w:rPr>
        <w:t>Количество мусоросборников на контейнерных площадках должно быть не более 10 контейнеров для накопления ТКО, в том числе для раздельного накопления ТКО, и 2 бункеров для накопления крупногабаритных отходов (далее – КГО).</w:t>
      </w:r>
    </w:p>
    <w:p w:rsidR="002174C4" w:rsidRPr="00030DF2" w:rsidRDefault="002174C4" w:rsidP="002174C4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/>
          <w:sz w:val="24"/>
          <w:szCs w:val="24"/>
        </w:rPr>
        <w:t>Накопление КГО должно осуществляться в соответствии с территориальной схемой обращения с отходами в бункеры, расположенные на контейнерных площадках или на специальных площадках складирования КГО, имеющих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площадки.».</w:t>
      </w:r>
    </w:p>
    <w:p w:rsidR="002174C4" w:rsidRPr="00030DF2" w:rsidRDefault="002174C4" w:rsidP="002174C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030D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30DF2">
        <w:rPr>
          <w:rFonts w:ascii="Times New Roman" w:hAnsi="Times New Roman"/>
          <w:sz w:val="24"/>
          <w:szCs w:val="24"/>
        </w:rPr>
        <w:t>2.  Настоящее решение вступает в силу после его официального опубликования (обнародования).</w:t>
      </w:r>
    </w:p>
    <w:p w:rsidR="002174C4" w:rsidRPr="00030DF2" w:rsidRDefault="002174C4" w:rsidP="002174C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174C4" w:rsidRPr="00030DF2" w:rsidRDefault="002174C4" w:rsidP="002174C4">
      <w:pPr>
        <w:pStyle w:val="af8"/>
        <w:ind w:left="0"/>
        <w:jc w:val="both"/>
      </w:pPr>
      <w:bookmarkStart w:id="1" w:name="_GoBack"/>
      <w:bookmarkEnd w:id="1"/>
    </w:p>
    <w:p w:rsidR="002174C4" w:rsidRPr="00030DF2" w:rsidRDefault="002174C4" w:rsidP="002174C4">
      <w:pPr>
        <w:pStyle w:val="af8"/>
        <w:ind w:left="0"/>
        <w:jc w:val="both"/>
      </w:pPr>
      <w:r w:rsidRPr="00030DF2">
        <w:t>Глава Сельского поселения</w:t>
      </w:r>
    </w:p>
    <w:p w:rsidR="002174C4" w:rsidRDefault="002174C4" w:rsidP="002174C4">
      <w:pPr>
        <w:pStyle w:val="af8"/>
        <w:ind w:left="0"/>
        <w:jc w:val="both"/>
      </w:pPr>
      <w:r w:rsidRPr="00030DF2">
        <w:t>«</w:t>
      </w:r>
      <w:proofErr w:type="spellStart"/>
      <w:r w:rsidRPr="00030DF2">
        <w:t>Тельвисочный</w:t>
      </w:r>
      <w:proofErr w:type="spellEnd"/>
      <w:r w:rsidRPr="00030DF2">
        <w:t xml:space="preserve"> сельсовет» </w:t>
      </w:r>
    </w:p>
    <w:p w:rsidR="002174C4" w:rsidRDefault="002174C4" w:rsidP="002174C4">
      <w:pPr>
        <w:pStyle w:val="af8"/>
        <w:ind w:left="0"/>
        <w:jc w:val="both"/>
      </w:pPr>
      <w:r>
        <w:t>Заполярного района</w:t>
      </w:r>
    </w:p>
    <w:p w:rsidR="002174C4" w:rsidRPr="00030DF2" w:rsidRDefault="002174C4" w:rsidP="002174C4">
      <w:pPr>
        <w:pStyle w:val="af8"/>
        <w:ind w:left="0"/>
        <w:jc w:val="both"/>
      </w:pPr>
      <w:r>
        <w:t>Ненецкого автономного округа</w:t>
      </w:r>
      <w:r w:rsidRPr="00030DF2">
        <w:tab/>
      </w:r>
      <w:r w:rsidRPr="00030DF2">
        <w:tab/>
      </w:r>
      <w:r w:rsidRPr="00030DF2">
        <w:tab/>
      </w:r>
      <w:r w:rsidRPr="00030DF2">
        <w:tab/>
      </w:r>
      <w:r w:rsidRPr="00030DF2">
        <w:tab/>
        <w:t xml:space="preserve">      </w:t>
      </w:r>
      <w:r>
        <w:t xml:space="preserve">      </w:t>
      </w:r>
      <w:r w:rsidRPr="00030DF2">
        <w:t xml:space="preserve">    Д.С.Якубович</w:t>
      </w:r>
    </w:p>
    <w:p w:rsidR="002174C4" w:rsidRPr="00030DF2" w:rsidRDefault="002174C4" w:rsidP="002174C4">
      <w:pPr>
        <w:pStyle w:val="af8"/>
        <w:jc w:val="both"/>
      </w:pPr>
    </w:p>
    <w:p w:rsidR="00DE754A" w:rsidRPr="00DE754A" w:rsidRDefault="00DE754A" w:rsidP="004B7ABA">
      <w:pPr>
        <w:jc w:val="center"/>
        <w:rPr>
          <w:rFonts w:ascii="Times New Roman" w:eastAsia="Times New Roman" w:hAnsi="Times New Roman" w:cs="Times New Roman"/>
        </w:rPr>
      </w:pPr>
    </w:p>
    <w:p w:rsidR="00320FA8" w:rsidRPr="003A5A26" w:rsidRDefault="00320FA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58"/>
      <w:bookmarkEnd w:id="2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956B13">
        <w:rPr>
          <w:rFonts w:ascii="Times New Roman" w:eastAsia="Times New Roman" w:hAnsi="Times New Roman" w:cs="Times New Roman"/>
          <w:sz w:val="20"/>
          <w:szCs w:val="20"/>
        </w:rPr>
        <w:t>№ 23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F018D8">
        <w:rPr>
          <w:rFonts w:ascii="Times New Roman" w:eastAsia="Times New Roman" w:hAnsi="Times New Roman" w:cs="Times New Roman"/>
          <w:sz w:val="20"/>
          <w:szCs w:val="20"/>
        </w:rPr>
        <w:t>28</w:t>
      </w:r>
      <w:r w:rsidR="00956B13">
        <w:rPr>
          <w:rFonts w:ascii="Times New Roman" w:eastAsia="Times New Roman" w:hAnsi="Times New Roman" w:cs="Times New Roman"/>
          <w:sz w:val="20"/>
          <w:szCs w:val="20"/>
        </w:rPr>
        <w:t>.10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54528A">
      <w:headerReference w:type="default" r:id="rId9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8D8" w:rsidRDefault="00F018D8" w:rsidP="00AD1B3A">
      <w:pPr>
        <w:spacing w:after="0" w:line="240" w:lineRule="auto"/>
      </w:pPr>
      <w:r>
        <w:separator/>
      </w:r>
    </w:p>
  </w:endnote>
  <w:endnote w:type="continuationSeparator" w:id="0">
    <w:p w:rsidR="00F018D8" w:rsidRDefault="00F018D8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8D8" w:rsidRDefault="00F018D8" w:rsidP="00AD1B3A">
      <w:pPr>
        <w:spacing w:after="0" w:line="240" w:lineRule="auto"/>
      </w:pPr>
      <w:r>
        <w:separator/>
      </w:r>
    </w:p>
  </w:footnote>
  <w:footnote w:type="continuationSeparator" w:id="0">
    <w:p w:rsidR="00F018D8" w:rsidRDefault="00F018D8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D8" w:rsidRDefault="00F018D8">
    <w:pPr>
      <w:pStyle w:val="a7"/>
      <w:jc w:val="center"/>
    </w:pPr>
  </w:p>
  <w:p w:rsidR="00F018D8" w:rsidRDefault="00F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2B68BC"/>
    <w:multiLevelType w:val="hybridMultilevel"/>
    <w:tmpl w:val="009EFA9C"/>
    <w:lvl w:ilvl="0" w:tplc="92FC59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0F460A"/>
    <w:multiLevelType w:val="multilevel"/>
    <w:tmpl w:val="71D0AE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82B8E"/>
    <w:multiLevelType w:val="multilevel"/>
    <w:tmpl w:val="522233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2B66893"/>
    <w:multiLevelType w:val="hybridMultilevel"/>
    <w:tmpl w:val="B39270D6"/>
    <w:lvl w:ilvl="0" w:tplc="1026F5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9F944F0"/>
    <w:multiLevelType w:val="hybridMultilevel"/>
    <w:tmpl w:val="21E8199C"/>
    <w:lvl w:ilvl="0" w:tplc="2D2E9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2">
    <w:nsid w:val="41FA5AF4"/>
    <w:multiLevelType w:val="hybridMultilevel"/>
    <w:tmpl w:val="C40CAE02"/>
    <w:lvl w:ilvl="0" w:tplc="78C49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EFA1540"/>
    <w:multiLevelType w:val="multilevel"/>
    <w:tmpl w:val="2EC6D7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F60085"/>
    <w:multiLevelType w:val="multilevel"/>
    <w:tmpl w:val="C01EE23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7">
    <w:nsid w:val="5F157AD8"/>
    <w:multiLevelType w:val="multilevel"/>
    <w:tmpl w:val="080E3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"/>
  </w:num>
  <w:num w:numId="5">
    <w:abstractNumId w:val="8"/>
  </w:num>
  <w:num w:numId="6">
    <w:abstractNumId w:val="1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22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13"/>
  </w:num>
  <w:num w:numId="18">
    <w:abstractNumId w:val="3"/>
  </w:num>
  <w:num w:numId="19">
    <w:abstractNumId w:val="17"/>
  </w:num>
  <w:num w:numId="20">
    <w:abstractNumId w:val="20"/>
  </w:num>
  <w:num w:numId="2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173F"/>
    <w:rsid w:val="003069FF"/>
    <w:rsid w:val="00306EA6"/>
    <w:rsid w:val="00314078"/>
    <w:rsid w:val="00315EBD"/>
    <w:rsid w:val="00320FA8"/>
    <w:rsid w:val="00326E61"/>
    <w:rsid w:val="00327DF7"/>
    <w:rsid w:val="00331910"/>
    <w:rsid w:val="00332F0A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56F3"/>
    <w:rsid w:val="0075293B"/>
    <w:rsid w:val="00753BDD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CA59D7EC3FF701514876F098B11CF6731591D17BE0F8403ACE979CD6B03BA77A651A7D6B633FE4E7461912F23CED74F89E446789D5D50OAX9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E3D8-AFBE-49E1-83C9-8B1A1607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24</Pages>
  <Words>11581</Words>
  <Characters>66013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2019-08-15T09:08:00Z</cp:lastPrinted>
  <dcterms:created xsi:type="dcterms:W3CDTF">2022-06-09T08:10:00Z</dcterms:created>
  <dcterms:modified xsi:type="dcterms:W3CDTF">2022-11-01T08:52:00Z</dcterms:modified>
</cp:coreProperties>
</file>