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E12F7" w:rsidRDefault="001E12F7" w:rsidP="005A1A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2F7">
        <w:rPr>
          <w:rFonts w:ascii="Times New Roman" w:hAnsi="Times New Roman" w:cs="Times New Roman"/>
          <w:b/>
          <w:sz w:val="28"/>
          <w:szCs w:val="28"/>
        </w:rPr>
        <w:t>Уголовная ответственность за незаконное проникновение в жилище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Фундаментальное право каждого на неприкосновенность жилища гарантируется Конституцией Российской Федерации и обеспечивается, в том числе, путем установления уголовной ответственности.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Статья 139 Уголовного кодекса Российской Федерации предусматривает ответственность за проникновение в жилище, совершенное против воли проживающего в нем лица, при отсутствии предусмотренных федеральными законами оснований для ограничения конституционного права на неприкосновенность жилища.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Уголовная ответственность наступает в случае, если виновный незаконно проникая в жилище, осознает, что действует против воли проживающего в нем лица, в том числе, путем обмана или злоупотребления доверия. То есть виновный действует умышленно, однако мотивы и цели для квалификации деяния как состава преступления значения не имеют.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 xml:space="preserve">В том случае, когда лицо находится в жилище с </w:t>
      </w:r>
      <w:proofErr w:type="gramStart"/>
      <w:r w:rsidRPr="001E12F7"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  <w:r w:rsidRPr="001E12F7">
        <w:rPr>
          <w:rFonts w:ascii="Times New Roman" w:hAnsi="Times New Roman" w:cs="Times New Roman"/>
          <w:sz w:val="28"/>
          <w:szCs w:val="28"/>
        </w:rPr>
        <w:t xml:space="preserve"> проживающего в нем лица, но отказывает выполнить требование его покинуть, эти действия не образует состава преступления.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Под жилищем в законе понимается индивидуальный жилой дом с входящими в него жилыми и нежилыми помещениям (например, верандой, чердаком, встроенным гаражом); жилое помещение, входящее в жилой фонд и пригодное для постоянного или временного проживания (квартира, комната, служебное жилое помещение, жилое помещение в общежитии и т.п.), а также иное строение и помещение, не входящее в жилой фонд, но предназначенное для временного проживания (апартаменты, садовый дом и др.).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 xml:space="preserve">Вместе с тем, в качестве жилого помещения не могут рассматриваться, например, помещения, строения, структурно обособленные от </w:t>
      </w:r>
      <w:r w:rsidRPr="001E12F7">
        <w:rPr>
          <w:rFonts w:ascii="Times New Roman" w:hAnsi="Times New Roman" w:cs="Times New Roman"/>
          <w:sz w:val="28"/>
          <w:szCs w:val="28"/>
        </w:rPr>
        <w:lastRenderedPageBreak/>
        <w:t>индивидуального жилого дома (сарай, баня, гараж и т.п.), если они не были специально приспособлены для проживания; помещения, предназначенные только для временного нахождения, а не проживания в них (купе поезда, каюту судна и т.п.), а также палатки, автоприцепы, дома на колесах, строительные бытовки.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Незаконное проникновение в жилище может иметь место и без вхождения в него, но с применением технических или иных средств, когда они используются в целях нарушения неприкосновенности жилища (например, для незаконного установления прослушивающего устройства или прибора видеонаблюдения).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Преступление считается оконченным с момента получения доступа или фактического доступа в пределы жилища.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В случае совершения лицом хищения чужого имущества путем незаконного проникновения в жилище его действия не образуют состава статьи 139 УК РФ, поскольку такое незаконное действие является квалифицирующим признаком кражи, грабежа или разбоя.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Однако незаконное проникновение в жилище, связанное с совершением иных преступлений (например, убийства) квалифицируется по совокупности с этим деянием.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>Уголовная ответственность за преступление наступает с 16 лет. Закон предусматривает наказание в виде штрафа до 40 тыс. рублей или в размере дохода осужденного за период до 3 месяцев; обязательные работы до 360 часов; исправительные работы до 1 года либо арест до 3 месяцев.</w:t>
      </w:r>
    </w:p>
    <w:p w:rsidR="001E12F7" w:rsidRPr="001E12F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Default="001E12F7" w:rsidP="001E12F7">
      <w:pPr>
        <w:jc w:val="both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 xml:space="preserve">В случае совершения данного преступления с применением насилия или с угрозой его применения (часть 2), а также с использованием своего </w:t>
      </w:r>
      <w:r w:rsidRPr="001E12F7">
        <w:rPr>
          <w:rFonts w:ascii="Times New Roman" w:hAnsi="Times New Roman" w:cs="Times New Roman"/>
          <w:sz w:val="28"/>
          <w:szCs w:val="28"/>
        </w:rPr>
        <w:lastRenderedPageBreak/>
        <w:t>служебного положения (часть 3) применяются также принудительные работы до двух лет и лишение свободы до 3 лет.</w:t>
      </w:r>
    </w:p>
    <w:p w:rsidR="001E12F7" w:rsidRDefault="001E12F7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2021-09-25T13:12:00Z</dcterms:created>
  <dcterms:modified xsi:type="dcterms:W3CDTF">2021-09-25T13:13:00Z</dcterms:modified>
</cp:coreProperties>
</file>