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2" w:rsidRPr="00AA01C2" w:rsidRDefault="00AA01C2" w:rsidP="00AA01C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01C2">
        <w:rPr>
          <w:rFonts w:ascii="Times New Roman" w:hAnsi="Times New Roman" w:cs="Times New Roman"/>
          <w:b/>
          <w:sz w:val="28"/>
          <w:szCs w:val="28"/>
        </w:rPr>
        <w:t>Утверждены Ветеринарные правила маркирования и учета животных</w:t>
      </w:r>
    </w:p>
    <w:bookmarkEnd w:id="0"/>
    <w:p w:rsidR="00AA01C2" w:rsidRDefault="00AA01C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3 ноября 2023 года № 832 утверждены Ветеринарные правила маркирования и учета животных.</w:t>
      </w: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1C2">
        <w:rPr>
          <w:rFonts w:ascii="Times New Roman" w:hAnsi="Times New Roman" w:cs="Times New Roman"/>
          <w:sz w:val="28"/>
          <w:szCs w:val="28"/>
        </w:rPr>
        <w:t>Основанием для индивидуального маркирования животного, включенного в перечень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животных, утвержденный постановлением Правительства Российской Федерации от 05.04.2023 № 550, является его рождение или ввоз немаркированного животного (группы животных) на территорию Российской Федерации.</w:t>
      </w:r>
      <w:proofErr w:type="gramEnd"/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При осуществлении маркирования животного его владелец самостоятельно определяет используемые средства маркирования. В зависимости от вида животного это могут быть бирки, вживляемые микрочипы, ошейники, электронные метки, болюсы и прочее.</w:t>
      </w: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AA01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01C2">
        <w:rPr>
          <w:rFonts w:ascii="Times New Roman" w:hAnsi="Times New Roman" w:cs="Times New Roman"/>
          <w:sz w:val="28"/>
          <w:szCs w:val="28"/>
        </w:rPr>
        <w:t xml:space="preserve"> используемые средства маркирования должны иметь устойчивость к внешним воздействиям, быть безопасными для здоровья животных, обеспечивать невозможность повторного использования и визуальную и (или) электронную считываемость в течение всего срока содержания животного.</w:t>
      </w: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Уникальный номер средства маркирования (далее – УНСМ) должен быть нанесен на средство маркирования или записан на постоянное запоминающее устройство средства маркирования, за исключением индивидуального маркирования посредством вырезов тканей.</w:t>
      </w: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УНСМ формируется автоматически Федеральной государственной информационной системой в области ветеринарии при поступлении в Федеральную службу по ветеринарному и фитосанитарному надзору заявки производителя средства маркирования или лиц, осуществляющих маркирование животных.</w:t>
      </w: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Крупный рогатый скот, в том числе зебу, буйволы, яки (далее – КРС), подлежит индивидуальному маркированию не позднее 30 календарных дней после дня рождения, а в случае содержания КРС мясного направления продуктивности на условиях круглогодичного пастбищного содержания - не позднее 91 календарного дня после дня рождения. В случае ввоза немаркированного КРС на территорию Российской Федерации КРС подлежит индивидуальному маркированию не позднее 30 календарных дней со дня ввоза.</w:t>
      </w:r>
    </w:p>
    <w:p w:rsidR="00AA01C2" w:rsidRPr="00AA01C2" w:rsidRDefault="00AA01C2" w:rsidP="00AA01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2">
        <w:rPr>
          <w:rFonts w:ascii="Times New Roman" w:hAnsi="Times New Roman" w:cs="Times New Roman"/>
          <w:sz w:val="28"/>
          <w:szCs w:val="28"/>
        </w:rPr>
        <w:t>Приказ вступает в силу с 1 марта 2024 года (за исключением отдельных положений, для которого предусмотрен иной срок его вступления в силу) и действует до 1 марта 2030 года.</w:t>
      </w:r>
    </w:p>
    <w:p w:rsidR="00AA01C2" w:rsidRDefault="00AA01C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C2" w:rsidRDefault="00AA01C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C2" w:rsidRDefault="00AA01C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D178A7"/>
    <w:rsid w:val="00DC6AE9"/>
    <w:rsid w:val="00E1203C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2024-02-27T07:21:00Z</dcterms:created>
  <dcterms:modified xsi:type="dcterms:W3CDTF">2024-02-27T07:21:00Z</dcterms:modified>
</cp:coreProperties>
</file>