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EE6B99">
        <w:rPr>
          <w:b/>
          <w:color w:val="auto"/>
          <w:sz w:val="26"/>
          <w:szCs w:val="26"/>
        </w:rPr>
        <w:t>первый квартал  2025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8"/>
        <w:gridCol w:w="1417"/>
      </w:tblGrid>
      <w:tr w:rsidR="00812E23" w:rsidRPr="00812E23" w:rsidTr="00FE2EC9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812E23" w:rsidRPr="00812E23" w:rsidRDefault="00331164" w:rsidP="009152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Исполнено </w:t>
            </w:r>
            <w:r w:rsidR="009152FD">
              <w:rPr>
                <w:color w:val="auto"/>
                <w:sz w:val="22"/>
                <w:szCs w:val="22"/>
              </w:rPr>
              <w:t xml:space="preserve">за первый </w:t>
            </w:r>
            <w:r w:rsidR="00EE6B99">
              <w:rPr>
                <w:color w:val="auto"/>
                <w:sz w:val="22"/>
                <w:szCs w:val="22"/>
              </w:rPr>
              <w:t>квартал 2024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vAlign w:val="center"/>
            <w:hideMark/>
          </w:tcPr>
          <w:p w:rsidR="00812E23" w:rsidRPr="00287E10" w:rsidRDefault="00812E23" w:rsidP="009152FD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287E10">
              <w:rPr>
                <w:color w:val="auto"/>
                <w:sz w:val="22"/>
                <w:szCs w:val="22"/>
              </w:rPr>
              <w:t xml:space="preserve">Исполнено за </w:t>
            </w:r>
            <w:r w:rsidR="00EE6B99">
              <w:rPr>
                <w:color w:val="auto"/>
                <w:sz w:val="22"/>
                <w:szCs w:val="22"/>
              </w:rPr>
              <w:t>1 квартал 2025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11 704,1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3D72B7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168 537,6</w:t>
            </w:r>
          </w:p>
        </w:tc>
      </w:tr>
      <w:tr w:rsidR="00EE6B99" w:rsidRPr="00120B06" w:rsidTr="007E4236">
        <w:trPr>
          <w:trHeight w:val="48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11 704,1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3D72B7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168 537,6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4 963,8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3D72B7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4 867,9</w:t>
            </w:r>
          </w:p>
        </w:tc>
      </w:tr>
      <w:tr w:rsidR="00EE6B99" w:rsidRPr="00120B06" w:rsidTr="007E4236">
        <w:trPr>
          <w:trHeight w:val="72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1 082,8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3D72B7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838,7</w:t>
            </w:r>
          </w:p>
        </w:tc>
      </w:tr>
      <w:tr w:rsidR="00EE6B99" w:rsidRPr="00120B06" w:rsidTr="007E4236">
        <w:trPr>
          <w:trHeight w:val="9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3D72B7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</w:tr>
      <w:tr w:rsidR="00EE6B99" w:rsidRPr="00120B06" w:rsidTr="007E4236">
        <w:trPr>
          <w:trHeight w:val="9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2 978,2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3D72B7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3 214,3</w:t>
            </w:r>
          </w:p>
        </w:tc>
      </w:tr>
      <w:tr w:rsidR="00EE6B99" w:rsidRPr="00120B06" w:rsidTr="007E4236">
        <w:trPr>
          <w:trHeight w:val="72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140,2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157,8</w:t>
            </w:r>
          </w:p>
        </w:tc>
      </w:tr>
      <w:tr w:rsidR="00EE6B99" w:rsidRPr="00120B06" w:rsidTr="00BF1550">
        <w:trPr>
          <w:trHeight w:val="345"/>
        </w:trPr>
        <w:tc>
          <w:tcPr>
            <w:tcW w:w="5637" w:type="dxa"/>
            <w:hideMark/>
          </w:tcPr>
          <w:p w:rsidR="00EE6B99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741,6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636,1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59,7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74,0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59,7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74,0</w:t>
            </w:r>
          </w:p>
        </w:tc>
      </w:tr>
      <w:tr w:rsidR="00EE6B99" w:rsidRPr="00120B06" w:rsidTr="007E4236">
        <w:trPr>
          <w:trHeight w:val="48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44,9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58,3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44,9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52,3</w:t>
            </w:r>
          </w:p>
        </w:tc>
      </w:tr>
      <w:tr w:rsidR="00EE6B99" w:rsidRPr="00120B06" w:rsidTr="007E4236">
        <w:trPr>
          <w:trHeight w:val="858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942,0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1050,0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942,0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1050,0</w:t>
            </w:r>
          </w:p>
        </w:tc>
      </w:tr>
      <w:tr w:rsidR="00EE6B99" w:rsidRPr="00120B06" w:rsidTr="007E4236">
        <w:trPr>
          <w:trHeight w:val="2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28 476,4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161 111,9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8,4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157 065,8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2 765,3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2 127,7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2 199,4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134A68">
              <w:rPr>
                <w:color w:val="auto"/>
                <w:sz w:val="24"/>
                <w:szCs w:val="24"/>
              </w:rPr>
              <w:t>8,4</w:t>
            </w:r>
          </w:p>
        </w:tc>
      </w:tr>
      <w:tr w:rsidR="00EE6B99" w:rsidRPr="00120B06" w:rsidTr="007E4236">
        <w:trPr>
          <w:trHeight w:val="25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19,0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6D1622" w:rsidRDefault="00EE6B99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center"/>
            <w:hideMark/>
          </w:tcPr>
          <w:p w:rsidR="00EE6B99" w:rsidRPr="006D1622" w:rsidRDefault="00EE6B99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6D1622" w:rsidRDefault="00EE6B99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6D1622" w:rsidRDefault="00EE6B99" w:rsidP="006504F6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19,0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6D1622" w:rsidRDefault="00134A68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693,6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729,0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693,6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729,0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17,6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17,6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C03AB"/>
    <w:rsid w:val="000F07F5"/>
    <w:rsid w:val="000F5FA3"/>
    <w:rsid w:val="00120B06"/>
    <w:rsid w:val="00134A68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2F518A"/>
    <w:rsid w:val="00331164"/>
    <w:rsid w:val="00390610"/>
    <w:rsid w:val="003D059C"/>
    <w:rsid w:val="003D72B7"/>
    <w:rsid w:val="004843B8"/>
    <w:rsid w:val="004A4CCE"/>
    <w:rsid w:val="004B5138"/>
    <w:rsid w:val="004C4563"/>
    <w:rsid w:val="004C6B83"/>
    <w:rsid w:val="004E4636"/>
    <w:rsid w:val="005060B7"/>
    <w:rsid w:val="00550635"/>
    <w:rsid w:val="005A503A"/>
    <w:rsid w:val="005D1AD0"/>
    <w:rsid w:val="00607F4C"/>
    <w:rsid w:val="00617154"/>
    <w:rsid w:val="00652440"/>
    <w:rsid w:val="00656A73"/>
    <w:rsid w:val="00682F94"/>
    <w:rsid w:val="00683219"/>
    <w:rsid w:val="0069673E"/>
    <w:rsid w:val="006A2DE5"/>
    <w:rsid w:val="006B610D"/>
    <w:rsid w:val="006D1622"/>
    <w:rsid w:val="006D70E8"/>
    <w:rsid w:val="006E40D7"/>
    <w:rsid w:val="0070477C"/>
    <w:rsid w:val="0071536C"/>
    <w:rsid w:val="007D4419"/>
    <w:rsid w:val="007E4236"/>
    <w:rsid w:val="008036C5"/>
    <w:rsid w:val="00812E23"/>
    <w:rsid w:val="008279AE"/>
    <w:rsid w:val="00831A4C"/>
    <w:rsid w:val="00836FE1"/>
    <w:rsid w:val="008D5CE1"/>
    <w:rsid w:val="009037F6"/>
    <w:rsid w:val="00904285"/>
    <w:rsid w:val="009118F7"/>
    <w:rsid w:val="009152FD"/>
    <w:rsid w:val="00917D2C"/>
    <w:rsid w:val="00921CB9"/>
    <w:rsid w:val="009343E2"/>
    <w:rsid w:val="009369F8"/>
    <w:rsid w:val="00941B89"/>
    <w:rsid w:val="009A3AA7"/>
    <w:rsid w:val="009B3986"/>
    <w:rsid w:val="009F1A15"/>
    <w:rsid w:val="009F72FE"/>
    <w:rsid w:val="00A03FBC"/>
    <w:rsid w:val="00A20678"/>
    <w:rsid w:val="00A60BFD"/>
    <w:rsid w:val="00A72D7D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BF1550"/>
    <w:rsid w:val="00CD4A25"/>
    <w:rsid w:val="00CE1C11"/>
    <w:rsid w:val="00D4225D"/>
    <w:rsid w:val="00D74FA3"/>
    <w:rsid w:val="00D7658C"/>
    <w:rsid w:val="00D9088E"/>
    <w:rsid w:val="00D92C0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EE6B99"/>
    <w:rsid w:val="00FA3E13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81</cp:revision>
  <dcterms:created xsi:type="dcterms:W3CDTF">2018-06-07T12:37:00Z</dcterms:created>
  <dcterms:modified xsi:type="dcterms:W3CDTF">2025-04-10T13:09:00Z</dcterms:modified>
</cp:coreProperties>
</file>