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150" w:before="0"/>
        <w:ind/>
        <w:jc w:val="center"/>
        <w:rPr>
          <w:rFonts w:ascii="Times New Roman" w:hAnsi="Times New Roman"/>
          <w:color w:val="000000"/>
          <w:sz w:val="24"/>
        </w:rPr>
      </w:pPr>
      <w:r>
        <w:rPr>
          <w:rFonts w:ascii="Times New Roman" w:hAnsi="Times New Roman"/>
          <w:b w:val="1"/>
          <w:color w:val="000000"/>
          <w:sz w:val="24"/>
        </w:rPr>
        <w:t>Коррупционные правонарушения в сфере закупок</w:t>
      </w:r>
    </w:p>
    <w:p w14:paraId="02000000">
      <w:pPr>
        <w:pStyle w:val="Style_1"/>
        <w:widowControl w:val="1"/>
        <w:spacing w:after="150" w:before="0"/>
        <w:ind/>
        <w:jc w:val="both"/>
        <w:rPr>
          <w:rFonts w:ascii="Times New Roman" w:hAnsi="Times New Roman"/>
          <w:color w:val="000000"/>
          <w:sz w:val="24"/>
        </w:rPr>
      </w:pPr>
      <w:r>
        <w:rPr>
          <w:rFonts w:ascii="Times New Roman" w:hAnsi="Times New Roman"/>
          <w:color w:val="000000"/>
          <w:sz w:val="24"/>
        </w:rPr>
        <w:t>В соответствии со статьей 7 Федерального закона от 25 декабря 2008 года № 273-ФЗ «О противодействии коррупции»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14:paraId="03000000">
      <w:pPr>
        <w:pStyle w:val="Style_1"/>
        <w:widowControl w:val="1"/>
        <w:spacing w:after="150" w:before="0"/>
        <w:ind/>
        <w:jc w:val="both"/>
        <w:rPr>
          <w:rFonts w:ascii="Times New Roman" w:hAnsi="Times New Roman"/>
          <w:color w:val="000000"/>
          <w:sz w:val="24"/>
        </w:rPr>
      </w:pPr>
      <w:r>
        <w:rPr>
          <w:rFonts w:ascii="Times New Roman" w:hAnsi="Times New Roman"/>
          <w:color w:val="000000"/>
          <w:sz w:val="24"/>
        </w:rPr>
        <w:t>Существует нескольких основных способов злоупотреблений при заключении и исполнении государственных и муниципальных контрактов.</w:t>
      </w:r>
    </w:p>
    <w:p w14:paraId="04000000">
      <w:pPr>
        <w:pStyle w:val="Style_1"/>
        <w:widowControl w:val="1"/>
        <w:spacing w:after="150" w:before="0"/>
        <w:ind/>
        <w:jc w:val="both"/>
        <w:rPr>
          <w:rFonts w:ascii="Times New Roman" w:hAnsi="Times New Roman"/>
          <w:color w:val="000000"/>
          <w:sz w:val="24"/>
        </w:rPr>
      </w:pPr>
      <w:r>
        <w:rPr>
          <w:rFonts w:ascii="Times New Roman" w:hAnsi="Times New Roman"/>
          <w:color w:val="000000"/>
          <w:sz w:val="24"/>
        </w:rPr>
        <w:t xml:space="preserve">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w:t>
      </w:r>
      <w:r>
        <w:rPr>
          <w:rFonts w:ascii="Times New Roman" w:hAnsi="Times New Roman"/>
          <w:color w:val="000000"/>
          <w:sz w:val="24"/>
        </w:rPr>
        <w:t>аффилированность</w:t>
      </w:r>
      <w:r>
        <w:rPr>
          <w:rFonts w:ascii="Times New Roman" w:hAnsi="Times New Roman"/>
          <w:color w:val="000000"/>
          <w:sz w:val="24"/>
        </w:rPr>
        <w:t xml:space="preserve"> работников органов государственной власти и органов самоуправления с субъектами предпринимательской деятельности.</w:t>
      </w:r>
    </w:p>
    <w:p w14:paraId="05000000">
      <w:pPr>
        <w:pStyle w:val="Style_1"/>
        <w:widowControl w:val="1"/>
        <w:spacing w:after="150" w:before="0"/>
        <w:ind/>
        <w:jc w:val="both"/>
        <w:rPr>
          <w:rFonts w:ascii="Times New Roman" w:hAnsi="Times New Roman"/>
          <w:color w:val="000000"/>
          <w:sz w:val="24"/>
        </w:rPr>
      </w:pPr>
      <w:r>
        <w:rPr>
          <w:rFonts w:ascii="Times New Roman" w:hAnsi="Times New Roman"/>
          <w:color w:val="000000"/>
          <w:sz w:val="24"/>
        </w:rPr>
        <w:t>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К числу механизмов, используемых для завышения цены контракта на стадии, предшествующей выполнению работ, относится завышение начальной цены контракта представителем заказчика при наличии сговора с предполагаемым победителем.</w:t>
      </w:r>
    </w:p>
    <w:p w14:paraId="06000000">
      <w:pPr>
        <w:pStyle w:val="Style_1"/>
        <w:widowControl w:val="1"/>
        <w:spacing w:after="150" w:before="0"/>
        <w:ind/>
        <w:jc w:val="both"/>
        <w:rPr>
          <w:rFonts w:ascii="Times New Roman" w:hAnsi="Times New Roman"/>
          <w:color w:val="000000"/>
          <w:sz w:val="24"/>
        </w:rPr>
      </w:pPr>
      <w:r>
        <w:rPr>
          <w:rFonts w:ascii="Times New Roman" w:hAnsi="Times New Roman"/>
          <w:color w:val="000000"/>
          <w:sz w:val="24"/>
        </w:rPr>
        <w:t>Уголовная ответственность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подкупа в сфере закупок товаров, работ, услуг для обеспечения государственных или муниципальных нужд) Уголовного кодекса Российской</w:t>
      </w:r>
      <w:r>
        <w:rPr>
          <w:rFonts w:ascii="Times New Roman" w:hAnsi="Times New Roman"/>
          <w:color w:val="000000"/>
          <w:sz w:val="24"/>
        </w:rPr>
        <w:t xml:space="preserve"> Федерации.</w:t>
      </w:r>
    </w:p>
    <w:p w14:paraId="07000000">
      <w:pPr>
        <w:pStyle w:val="Style_1"/>
        <w:widowControl w:val="1"/>
        <w:spacing w:after="150" w:before="0"/>
        <w:ind/>
        <w:jc w:val="both"/>
        <w:rPr>
          <w:rFonts w:ascii="Times New Roman" w:hAnsi="Times New Roman"/>
          <w:color w:val="000000"/>
          <w:sz w:val="24"/>
        </w:rPr>
      </w:pPr>
      <w:r>
        <w:rPr>
          <w:rFonts w:ascii="Times New Roman" w:hAnsi="Times New Roman"/>
          <w:color w:val="000000"/>
          <w:sz w:val="24"/>
        </w:rPr>
        <w:t>В отдельных случаях действия злоумышленников могут квалифицироваться по статье 159 Уголовного кодекса Российской Федерации (мошенничество).</w:t>
      </w:r>
    </w:p>
    <w:p w14:paraId="08000000">
      <w:pPr>
        <w:pStyle w:val="Style_1"/>
        <w:widowControl w:val="1"/>
        <w:spacing w:after="150" w:before="0"/>
        <w:ind/>
        <w:jc w:val="center"/>
        <w:rPr>
          <w:rFonts w:ascii="Times New Roman" w:hAnsi="Times New Roman"/>
          <w:color w:val="000000"/>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Default Paragraph Font"/>
    <w:link w:val="Style_4_ch"/>
  </w:style>
  <w:style w:styleId="Style_4_ch" w:type="character">
    <w:name w:val="Default Paragraph Font"/>
    <w:link w:val="Style_4"/>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Normal (Web)"/>
    <w:basedOn w:val="Style_2"/>
    <w:link w:val="Style_1_ch"/>
    <w:pPr>
      <w:widowControl w:val="1"/>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2025-12-22T14:33:14Z</dcterms:created>
  <dcterms:modified xsi:type="dcterms:W3CDTF">2025-12-22T14:33:27Z</dcterms:modified>
</cp:coreProperties>
</file>