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6E" w:rsidRDefault="0010324F" w:rsidP="000E716E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-501015</wp:posOffset>
            </wp:positionV>
            <wp:extent cx="529590" cy="654050"/>
            <wp:effectExtent l="0" t="0" r="0" b="0"/>
            <wp:wrapNone/>
            <wp:docPr id="2" name="Рисунок 2" descr="Герб МО Т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О ТС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16E" w:rsidRPr="000E716E" w:rsidRDefault="000E716E" w:rsidP="000E716E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E716E">
        <w:rPr>
          <w:rFonts w:ascii="Times New Roman" w:hAnsi="Times New Roman"/>
          <w:b/>
          <w:sz w:val="24"/>
          <w:szCs w:val="24"/>
        </w:rPr>
        <w:t>СОВЕТ</w:t>
      </w:r>
      <w:r w:rsidR="00E207BC">
        <w:rPr>
          <w:rFonts w:ascii="Times New Roman" w:hAnsi="Times New Roman"/>
          <w:b/>
          <w:sz w:val="24"/>
          <w:szCs w:val="24"/>
        </w:rPr>
        <w:t xml:space="preserve"> ДЕПУТАТОВ СЕЛЬСКОГО ПОСЕЛЕНИЯ «ТЕЛЬВИСОЧНЫЙ</w:t>
      </w:r>
      <w:r w:rsidR="00660FC8">
        <w:rPr>
          <w:rFonts w:ascii="Times New Roman" w:hAnsi="Times New Roman"/>
          <w:b/>
          <w:sz w:val="24"/>
          <w:szCs w:val="24"/>
        </w:rPr>
        <w:t xml:space="preserve"> СЕЛЬСОВЕТ» </w:t>
      </w:r>
      <w:r w:rsidRPr="000E716E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0E716E" w:rsidRPr="002F1A63" w:rsidRDefault="000E716E" w:rsidP="000E716E">
      <w:pPr>
        <w:jc w:val="center"/>
        <w:rPr>
          <w:rFonts w:ascii="Times New Roman" w:hAnsi="Times New Roman"/>
          <w:b/>
          <w:sz w:val="24"/>
          <w:szCs w:val="24"/>
        </w:rPr>
      </w:pPr>
      <w:r w:rsidRPr="002F1A63">
        <w:rPr>
          <w:rFonts w:ascii="Times New Roman" w:hAnsi="Times New Roman"/>
          <w:b/>
          <w:sz w:val="24"/>
          <w:szCs w:val="24"/>
        </w:rPr>
        <w:t xml:space="preserve"> заседание 28-го созыва</w:t>
      </w:r>
    </w:p>
    <w:p w:rsidR="000E716E" w:rsidRPr="002F1A63" w:rsidRDefault="000E716E" w:rsidP="00660F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F1A63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2F1A63" w:rsidRPr="002F1A63" w:rsidRDefault="002F1A63" w:rsidP="002F1A6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F1A63">
        <w:rPr>
          <w:rFonts w:ascii="Times New Roman" w:hAnsi="Times New Roman"/>
          <w:b/>
          <w:sz w:val="24"/>
          <w:szCs w:val="24"/>
        </w:rPr>
        <w:t>ПРОЕКТ</w:t>
      </w:r>
    </w:p>
    <w:p w:rsidR="000E716E" w:rsidRPr="00030DF2" w:rsidRDefault="000E716E" w:rsidP="00660F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1A63">
        <w:rPr>
          <w:rFonts w:ascii="Times New Roman" w:hAnsi="Times New Roman"/>
          <w:sz w:val="24"/>
          <w:szCs w:val="24"/>
        </w:rPr>
        <w:t xml:space="preserve">от </w:t>
      </w:r>
      <w:r w:rsidR="000E4707" w:rsidRPr="002F1A63">
        <w:rPr>
          <w:rFonts w:ascii="Times New Roman" w:hAnsi="Times New Roman"/>
          <w:sz w:val="24"/>
          <w:szCs w:val="24"/>
        </w:rPr>
        <w:t>00</w:t>
      </w:r>
      <w:r w:rsidR="002F1A63" w:rsidRPr="002F1A63">
        <w:rPr>
          <w:rFonts w:ascii="Times New Roman" w:hAnsi="Times New Roman"/>
          <w:sz w:val="24"/>
          <w:szCs w:val="24"/>
        </w:rPr>
        <w:t>.00.</w:t>
      </w:r>
      <w:r w:rsidR="000E4707" w:rsidRPr="002F1A63">
        <w:rPr>
          <w:rFonts w:ascii="Times New Roman" w:hAnsi="Times New Roman"/>
          <w:sz w:val="24"/>
          <w:szCs w:val="24"/>
        </w:rPr>
        <w:t>2024</w:t>
      </w:r>
      <w:r w:rsidR="00E207BC" w:rsidRPr="002F1A63">
        <w:rPr>
          <w:rFonts w:ascii="Times New Roman" w:hAnsi="Times New Roman"/>
          <w:sz w:val="24"/>
          <w:szCs w:val="24"/>
        </w:rPr>
        <w:t xml:space="preserve"> года №00</w:t>
      </w:r>
    </w:p>
    <w:p w:rsidR="008C1A4B" w:rsidRPr="00030DF2" w:rsidRDefault="008C1A4B" w:rsidP="008C1A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30DF2" w:rsidRDefault="00681A8C" w:rsidP="00030DF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установлении на территории 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681A8C" w:rsidRPr="00681A8C" w:rsidRDefault="00681A8C" w:rsidP="00030DF2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туристического налога</w:t>
      </w:r>
    </w:p>
    <w:p w:rsidR="00030DF2" w:rsidRPr="00030DF2" w:rsidRDefault="00030DF2" w:rsidP="00030D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781D55" w:rsidRPr="00781D55" w:rsidRDefault="00781D55" w:rsidP="00781D55">
      <w:pPr>
        <w:spacing w:before="134" w:after="0" w:line="307" w:lineRule="exact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12.07.2024г. М176-ФЗ «О внесении изменений и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Федеральным законом от 06.10.2003 года 131-ФЗ «Об общих принципах организации местного самоуправления в Российской Федерации», главой 33.1 Налогового кодекса Российской Федерации, руководствуясь 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Заполярного района Ненецкого автономного округа, Совет</w:t>
      </w: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Заполярного района Ненецкого автономного округа РЕШИЛ:</w:t>
      </w:r>
    </w:p>
    <w:p w:rsidR="00781D55" w:rsidRPr="00781D55" w:rsidRDefault="00781D55" w:rsidP="00781D55">
      <w:pPr>
        <w:spacing w:before="48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D55" w:rsidRPr="00781D55" w:rsidRDefault="00781D55" w:rsidP="00781D55">
      <w:pPr>
        <w:numPr>
          <w:ilvl w:val="0"/>
          <w:numId w:val="6"/>
        </w:numPr>
        <w:tabs>
          <w:tab w:val="left" w:pos="979"/>
        </w:tabs>
        <w:spacing w:after="120" w:line="288" w:lineRule="exact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 xml:space="preserve">Ввести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сельсовет» Заполярного района Ненецкого автономного округа</w:t>
      </w: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туристический налог с 1 января 2025 года.</w:t>
      </w:r>
    </w:p>
    <w:p w:rsidR="003B19B5" w:rsidRDefault="00781D55" w:rsidP="00781D55">
      <w:pPr>
        <w:numPr>
          <w:ilvl w:val="0"/>
          <w:numId w:val="6"/>
        </w:numPr>
        <w:tabs>
          <w:tab w:val="left" w:pos="979"/>
        </w:tabs>
        <w:spacing w:after="120" w:line="288" w:lineRule="exact"/>
        <w:ind w:firstLine="5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>Установить ставку туристического налога в</w:t>
      </w:r>
      <w:r w:rsidR="003B19B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размерах:</w:t>
      </w:r>
    </w:p>
    <w:p w:rsidR="00781D55" w:rsidRPr="003B19B5" w:rsidRDefault="00444F5A" w:rsidP="00444F5A">
      <w:pPr>
        <w:pStyle w:val="a3"/>
        <w:tabs>
          <w:tab w:val="left" w:pos="0"/>
        </w:tabs>
        <w:spacing w:after="120" w:line="288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3B19B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B19B5">
        <w:rPr>
          <w:rFonts w:ascii="Times New Roman" w:eastAsia="Times New Roman" w:hAnsi="Times New Roman"/>
          <w:sz w:val="24"/>
          <w:szCs w:val="24"/>
          <w:lang w:eastAsia="ru-RU"/>
        </w:rPr>
        <w:t>1 процент, 2026 год – 2 процента, 2027 год – 3 процента, 2028 – 4 процента, начиная с 2029 года – 5 процентов</w:t>
      </w:r>
      <w:r w:rsidR="00781D55" w:rsidRPr="003B19B5">
        <w:rPr>
          <w:rFonts w:ascii="Times New Roman" w:eastAsia="Times New Roman" w:hAnsi="Times New Roman"/>
          <w:spacing w:val="-20"/>
          <w:sz w:val="24"/>
          <w:szCs w:val="24"/>
          <w:lang w:eastAsia="ru-RU"/>
        </w:rPr>
        <w:t xml:space="preserve"> от </w:t>
      </w:r>
      <w:r w:rsidR="00781D55" w:rsidRPr="003B19B5">
        <w:rPr>
          <w:rFonts w:ascii="Times New Roman" w:eastAsia="Times New Roman" w:hAnsi="Times New Roman"/>
          <w:sz w:val="24"/>
          <w:szCs w:val="24"/>
          <w:lang w:eastAsia="ru-RU"/>
        </w:rPr>
        <w:t>стоимости оказываемой услуги по предоставлению мест для временного проживания физических лиц в средстве размещения (его части) без учета сумм налога и налога на добавленную стоимость.</w:t>
      </w:r>
    </w:p>
    <w:p w:rsidR="00781D55" w:rsidRPr="00781D55" w:rsidRDefault="00781D55" w:rsidP="00781D55">
      <w:pPr>
        <w:numPr>
          <w:ilvl w:val="0"/>
          <w:numId w:val="6"/>
        </w:numPr>
        <w:tabs>
          <w:tab w:val="left" w:pos="979"/>
        </w:tabs>
        <w:spacing w:after="120" w:line="288" w:lineRule="exact"/>
        <w:ind w:firstLine="5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>Налогоплательщиками туристического налога признаются организации и физические лица, оказывающие услуги, признаваемые объектом налогообложения в соответствии со статьей 418.3 Налогового кодекса Российской Федерации.</w:t>
      </w:r>
    </w:p>
    <w:p w:rsidR="00781D55" w:rsidRPr="00781D55" w:rsidRDefault="00781D55" w:rsidP="00781D55">
      <w:pPr>
        <w:numPr>
          <w:ilvl w:val="0"/>
          <w:numId w:val="6"/>
        </w:numPr>
        <w:tabs>
          <w:tab w:val="left" w:pos="979"/>
          <w:tab w:val="left" w:pos="2458"/>
          <w:tab w:val="left" w:pos="5318"/>
        </w:tabs>
        <w:spacing w:after="120" w:line="288" w:lineRule="exact"/>
        <w:ind w:firstLine="5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категориям физических лиц, установленным пунктом 2 статьи 418.4 Налогового кодекса Российской Федерации.  </w:t>
      </w:r>
    </w:p>
    <w:p w:rsidR="00781D55" w:rsidRPr="00444F5A" w:rsidRDefault="00781D55" w:rsidP="00781D55">
      <w:pPr>
        <w:numPr>
          <w:ilvl w:val="0"/>
          <w:numId w:val="6"/>
        </w:numPr>
        <w:tabs>
          <w:tab w:val="left" w:pos="979"/>
          <w:tab w:val="left" w:pos="2458"/>
          <w:tab w:val="left" w:pos="5318"/>
        </w:tabs>
        <w:spacing w:after="120" w:line="288" w:lineRule="exact"/>
        <w:ind w:firstLine="556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444F5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налоговые льготы, основания и порядок их применения налогоплательщиками </w:t>
      </w:r>
      <w:r w:rsidRPr="00444F5A">
        <w:rPr>
          <w:rFonts w:ascii="Times New Roman" w:eastAsia="Times New Roman" w:hAnsi="Times New Roman"/>
          <w:i/>
          <w:sz w:val="24"/>
          <w:szCs w:val="24"/>
          <w:highlight w:val="yellow"/>
          <w:lang w:eastAsia="ru-RU"/>
        </w:rPr>
        <w:t>(в случае предоставления таких льгот в муниципальном образовании).</w:t>
      </w:r>
    </w:p>
    <w:p w:rsidR="00781D55" w:rsidRPr="00781D55" w:rsidRDefault="00781D55" w:rsidP="00781D55">
      <w:pPr>
        <w:tabs>
          <w:tab w:val="left" w:pos="979"/>
        </w:tabs>
        <w:spacing w:before="288" w:after="0" w:line="307" w:lineRule="exact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6. Иные положения, относящиеся к туристическому налогу, определяются главой 33.1 Налогового кодекса Российской Федерации.</w:t>
      </w:r>
      <w:r w:rsidRPr="00781D55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</w:p>
    <w:p w:rsidR="00781D55" w:rsidRPr="00781D55" w:rsidRDefault="00781D55" w:rsidP="00781D55">
      <w:pPr>
        <w:tabs>
          <w:tab w:val="left" w:pos="979"/>
        </w:tabs>
        <w:spacing w:before="250" w:after="0" w:line="307" w:lineRule="exact"/>
        <w:ind w:left="5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7. Настоящее решение вступает в силу со дня </w:t>
      </w:r>
      <w:r w:rsidRPr="00781D55">
        <w:rPr>
          <w:rFonts w:ascii="Times New Roman" w:eastAsia="Times New Roman" w:hAnsi="Times New Roman"/>
          <w:sz w:val="24"/>
          <w:szCs w:val="24"/>
        </w:rPr>
        <w:t xml:space="preserve">его </w:t>
      </w:r>
      <w:r w:rsidRPr="00781D5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3B19B5">
        <w:rPr>
          <w:rFonts w:ascii="Times New Roman" w:eastAsia="Times New Roman" w:hAnsi="Times New Roman"/>
          <w:sz w:val="24"/>
          <w:szCs w:val="24"/>
          <w:lang w:eastAsia="ru-RU"/>
        </w:rPr>
        <w:t>фициального опубликования в информационном бюллетене «</w:t>
      </w:r>
      <w:proofErr w:type="spellStart"/>
      <w:r w:rsidR="003B19B5">
        <w:rPr>
          <w:rFonts w:ascii="Times New Roman" w:eastAsia="Times New Roman" w:hAnsi="Times New Roman"/>
          <w:sz w:val="24"/>
          <w:szCs w:val="24"/>
          <w:lang w:eastAsia="ru-RU"/>
        </w:rPr>
        <w:t>Тельвисочный</w:t>
      </w:r>
      <w:proofErr w:type="spellEnd"/>
      <w:r w:rsidR="003B19B5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вестник» и на официальном сайте </w:t>
      </w:r>
      <w:hyperlink r:id="rId6" w:history="1">
        <w:r w:rsidR="003B19B5" w:rsidRPr="00077EE4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https://adm-telwiska.ru</w:t>
        </w:r>
      </w:hyperlink>
      <w:r w:rsidR="003B19B5" w:rsidRPr="003B19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1D55" w:rsidRPr="00781D55" w:rsidRDefault="00781D55" w:rsidP="00781D55">
      <w:pPr>
        <w:spacing w:after="0" w:line="240" w:lineRule="exact"/>
        <w:ind w:right="46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D55" w:rsidRPr="00781D55" w:rsidRDefault="00781D55" w:rsidP="00781D55">
      <w:pPr>
        <w:spacing w:after="0" w:line="240" w:lineRule="exact"/>
        <w:ind w:right="46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D55" w:rsidRPr="00781D55" w:rsidRDefault="00781D55" w:rsidP="00781D55">
      <w:pPr>
        <w:spacing w:after="0" w:line="240" w:lineRule="exact"/>
        <w:ind w:right="46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A4B" w:rsidRPr="00020FFA" w:rsidRDefault="008C1A4B" w:rsidP="00030DF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8C1A4B" w:rsidRPr="00020FFA" w:rsidRDefault="008C1A4B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030DF2" w:rsidRPr="00020FFA" w:rsidRDefault="008C1A4B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«</w:t>
      </w:r>
      <w:proofErr w:type="spellStart"/>
      <w:r w:rsidR="000E716E" w:rsidRPr="00020FFA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="000E716E" w:rsidRPr="00020FFA">
        <w:rPr>
          <w:rFonts w:ascii="Times New Roman" w:hAnsi="Times New Roman"/>
          <w:sz w:val="24"/>
          <w:szCs w:val="24"/>
        </w:rPr>
        <w:t xml:space="preserve"> </w:t>
      </w:r>
      <w:r w:rsidRPr="00020FFA">
        <w:rPr>
          <w:rFonts w:ascii="Times New Roman" w:hAnsi="Times New Roman"/>
          <w:sz w:val="24"/>
          <w:szCs w:val="24"/>
        </w:rPr>
        <w:t xml:space="preserve">сельсовет» </w:t>
      </w:r>
    </w:p>
    <w:p w:rsidR="00030DF2" w:rsidRPr="00020FFA" w:rsidRDefault="00030DF2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Заполярного района</w:t>
      </w:r>
    </w:p>
    <w:p w:rsidR="008C1A4B" w:rsidRPr="00020FFA" w:rsidRDefault="00030DF2" w:rsidP="00030DF2">
      <w:pPr>
        <w:pStyle w:val="a3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20FFA">
        <w:rPr>
          <w:rFonts w:ascii="Times New Roman" w:hAnsi="Times New Roman"/>
          <w:sz w:val="24"/>
          <w:szCs w:val="24"/>
        </w:rPr>
        <w:t>Ненецкого автономного округа</w:t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</w:r>
      <w:r w:rsidR="000E716E" w:rsidRPr="00020FFA">
        <w:rPr>
          <w:rFonts w:ascii="Times New Roman" w:hAnsi="Times New Roman"/>
          <w:sz w:val="24"/>
          <w:szCs w:val="24"/>
        </w:rPr>
        <w:tab/>
        <w:t xml:space="preserve">     </w:t>
      </w:r>
      <w:r w:rsidR="002F1A63">
        <w:rPr>
          <w:rFonts w:ascii="Times New Roman" w:hAnsi="Times New Roman"/>
          <w:sz w:val="24"/>
          <w:szCs w:val="24"/>
        </w:rPr>
        <w:t xml:space="preserve">         </w:t>
      </w:r>
      <w:r w:rsidR="000E716E" w:rsidRPr="00020FFA">
        <w:rPr>
          <w:rFonts w:ascii="Times New Roman" w:hAnsi="Times New Roman"/>
          <w:sz w:val="24"/>
          <w:szCs w:val="24"/>
        </w:rPr>
        <w:t xml:space="preserve"> </w:t>
      </w:r>
      <w:r w:rsidRPr="00020FFA">
        <w:rPr>
          <w:rFonts w:ascii="Times New Roman" w:hAnsi="Times New Roman"/>
          <w:sz w:val="24"/>
          <w:szCs w:val="24"/>
        </w:rPr>
        <w:t xml:space="preserve">      </w:t>
      </w:r>
      <w:r w:rsidR="000E716E" w:rsidRPr="00020FF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E716E" w:rsidRPr="00020FFA">
        <w:rPr>
          <w:rFonts w:ascii="Times New Roman" w:hAnsi="Times New Roman"/>
          <w:sz w:val="24"/>
          <w:szCs w:val="24"/>
        </w:rPr>
        <w:t>Д.С.Якубович</w:t>
      </w:r>
      <w:proofErr w:type="spellEnd"/>
    </w:p>
    <w:p w:rsidR="008C1A4B" w:rsidRPr="00020FFA" w:rsidRDefault="008C1A4B" w:rsidP="008C1A4B">
      <w:pPr>
        <w:pStyle w:val="a3"/>
        <w:ind w:left="708"/>
        <w:jc w:val="both"/>
        <w:rPr>
          <w:rFonts w:ascii="Times New Roman" w:hAnsi="Times New Roman"/>
          <w:sz w:val="24"/>
          <w:szCs w:val="24"/>
        </w:rPr>
      </w:pPr>
    </w:p>
    <w:sectPr w:rsidR="008C1A4B" w:rsidRPr="00020FFA" w:rsidSect="000A1555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F944F0"/>
    <w:multiLevelType w:val="hybridMultilevel"/>
    <w:tmpl w:val="21E8199C"/>
    <w:lvl w:ilvl="0" w:tplc="2D2E9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C76438"/>
    <w:multiLevelType w:val="multilevel"/>
    <w:tmpl w:val="30F8EB2E"/>
    <w:lvl w:ilvl="0">
      <w:start w:val="1"/>
      <w:numFmt w:val="decimal"/>
      <w:lvlText w:val="%1."/>
      <w:lvlJc w:val="left"/>
      <w:pPr>
        <w:ind w:left="465" w:hanging="46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Calibri" w:hint="default"/>
      </w:rPr>
    </w:lvl>
  </w:abstractNum>
  <w:abstractNum w:abstractNumId="3" w15:restartNumberingAfterBreak="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03B0FD6"/>
    <w:multiLevelType w:val="hybridMultilevel"/>
    <w:tmpl w:val="7B0AC6F4"/>
    <w:lvl w:ilvl="0" w:tplc="5EF8E234">
      <w:start w:val="2025"/>
      <w:numFmt w:val="decimal"/>
      <w:lvlText w:val="%1"/>
      <w:lvlJc w:val="left"/>
      <w:pPr>
        <w:ind w:left="103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" w15:restartNumberingAfterBreak="0">
    <w:nsid w:val="61524F6F"/>
    <w:multiLevelType w:val="singleLevel"/>
    <w:tmpl w:val="16E0FB64"/>
    <w:lvl w:ilvl="0">
      <w:start w:val="1"/>
      <w:numFmt w:val="decimal"/>
      <w:lvlText w:val="%1."/>
      <w:lvlJc w:val="left"/>
    </w:lvl>
  </w:abstractNum>
  <w:abstractNum w:abstractNumId="6" w15:restartNumberingAfterBreak="0">
    <w:nsid w:val="7E0F63A1"/>
    <w:multiLevelType w:val="hybridMultilevel"/>
    <w:tmpl w:val="BE8A67A6"/>
    <w:lvl w:ilvl="0" w:tplc="06C4F7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0"/>
    <w:rsid w:val="0000678B"/>
    <w:rsid w:val="00020FFA"/>
    <w:rsid w:val="00030DF2"/>
    <w:rsid w:val="0003203B"/>
    <w:rsid w:val="000A1555"/>
    <w:rsid w:val="000E4707"/>
    <w:rsid w:val="000E716E"/>
    <w:rsid w:val="0010324F"/>
    <w:rsid w:val="001A6DCD"/>
    <w:rsid w:val="002F1A63"/>
    <w:rsid w:val="00315E25"/>
    <w:rsid w:val="003363CC"/>
    <w:rsid w:val="003B19B5"/>
    <w:rsid w:val="00444F5A"/>
    <w:rsid w:val="004B1A18"/>
    <w:rsid w:val="004C7113"/>
    <w:rsid w:val="005A5F94"/>
    <w:rsid w:val="005B1F55"/>
    <w:rsid w:val="00660FC8"/>
    <w:rsid w:val="0066469A"/>
    <w:rsid w:val="00681A8C"/>
    <w:rsid w:val="00781D55"/>
    <w:rsid w:val="00785D5D"/>
    <w:rsid w:val="008A36BF"/>
    <w:rsid w:val="008C1A4B"/>
    <w:rsid w:val="009B6215"/>
    <w:rsid w:val="00BA6607"/>
    <w:rsid w:val="00D36970"/>
    <w:rsid w:val="00D6206B"/>
    <w:rsid w:val="00DF35B3"/>
    <w:rsid w:val="00DF7E20"/>
    <w:rsid w:val="00E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CE74"/>
  <w15:chartTrackingRefBased/>
  <w15:docId w15:val="{0AE852FD-66C9-43D2-816C-9520127C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5E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15E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315E25"/>
    <w:pPr>
      <w:ind w:left="720"/>
      <w:contextualSpacing/>
    </w:pPr>
  </w:style>
  <w:style w:type="paragraph" w:customStyle="1" w:styleId="ConsPlusNormal">
    <w:name w:val="ConsPlusNormal"/>
    <w:rsid w:val="00315E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 Spacing"/>
    <w:uiPriority w:val="1"/>
    <w:qFormat/>
    <w:rsid w:val="00DF35B3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020FF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B19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telwis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RePack by Diakov</cp:lastModifiedBy>
  <cp:revision>3</cp:revision>
  <dcterms:created xsi:type="dcterms:W3CDTF">2024-10-24T08:35:00Z</dcterms:created>
  <dcterms:modified xsi:type="dcterms:W3CDTF">2024-10-24T08:42:00Z</dcterms:modified>
</cp:coreProperties>
</file>